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8C5" w:rsidRPr="00E377EA" w:rsidRDefault="00A618C5" w:rsidP="00A618C5">
      <w:pPr>
        <w:pStyle w:val="NormalWeb"/>
        <w:spacing w:before="0" w:beforeAutospacing="0" w:after="0" w:afterAutospacing="0"/>
        <w:jc w:val="center"/>
        <w:rPr>
          <w:rFonts w:ascii="Times New Roman" w:hAnsi="Times New Roman"/>
          <w:b/>
          <w:bCs/>
          <w:sz w:val="24"/>
          <w:szCs w:val="24"/>
          <w:lang w:val="lv-LV" w:eastAsia="lv-LV"/>
        </w:rPr>
      </w:pPr>
      <w:r w:rsidRPr="00E377EA">
        <w:rPr>
          <w:rFonts w:ascii="Times New Roman" w:hAnsi="Times New Roman"/>
          <w:b/>
          <w:sz w:val="24"/>
          <w:szCs w:val="24"/>
          <w:lang w:val="lv-LV"/>
        </w:rPr>
        <w:t>Ministru kabineta noteikumu projekta „</w:t>
      </w:r>
      <w:r w:rsidR="00E377EA" w:rsidRPr="00E377EA">
        <w:rPr>
          <w:rFonts w:ascii="Times New Roman" w:hAnsi="Times New Roman"/>
          <w:b/>
          <w:sz w:val="24"/>
          <w:szCs w:val="24"/>
        </w:rPr>
        <w:t>Grozījum</w:t>
      </w:r>
      <w:r w:rsidR="00BC4E6A">
        <w:rPr>
          <w:rFonts w:ascii="Times New Roman" w:hAnsi="Times New Roman"/>
          <w:b/>
          <w:sz w:val="24"/>
          <w:szCs w:val="24"/>
        </w:rPr>
        <w:t>i</w:t>
      </w:r>
      <w:r w:rsidR="00E377EA" w:rsidRPr="00E377EA">
        <w:rPr>
          <w:rFonts w:ascii="Times New Roman" w:hAnsi="Times New Roman"/>
          <w:b/>
          <w:sz w:val="24"/>
          <w:szCs w:val="24"/>
        </w:rPr>
        <w:t xml:space="preserve"> Ministru kabineta 2015.gada 30.jūnija noteikumos Nr.367 „Nacionālais numerācijas plāns”</w:t>
      </w:r>
      <w:r w:rsidRPr="00E377EA">
        <w:rPr>
          <w:rFonts w:ascii="Times New Roman" w:hAnsi="Times New Roman"/>
          <w:b/>
          <w:sz w:val="24"/>
          <w:szCs w:val="24"/>
          <w:lang w:val="lv-LV"/>
        </w:rPr>
        <w:t xml:space="preserve">” </w:t>
      </w:r>
      <w:r w:rsidRPr="00E377EA">
        <w:rPr>
          <w:rFonts w:ascii="Times New Roman" w:hAnsi="Times New Roman"/>
          <w:b/>
          <w:bCs/>
          <w:sz w:val="24"/>
          <w:szCs w:val="24"/>
          <w:lang w:val="lv-LV" w:eastAsia="lv-LV"/>
        </w:rPr>
        <w:t xml:space="preserve">sākotnējās ietekmes novērtējuma </w:t>
      </w:r>
      <w:smartTag w:uri="schemas-tilde-lv/tildestengine" w:element="veidnes">
        <w:smartTagPr>
          <w:attr w:name="id" w:val="-1"/>
          <w:attr w:name="baseform" w:val="ziņojums"/>
          <w:attr w:name="text" w:val="ziņojums"/>
        </w:smartTagPr>
        <w:r w:rsidRPr="00E377EA">
          <w:rPr>
            <w:rFonts w:ascii="Times New Roman" w:hAnsi="Times New Roman"/>
            <w:b/>
            <w:bCs/>
            <w:sz w:val="24"/>
            <w:szCs w:val="24"/>
            <w:lang w:val="lv-LV" w:eastAsia="lv-LV"/>
          </w:rPr>
          <w:t>ziņojums</w:t>
        </w:r>
      </w:smartTag>
      <w:r w:rsidRPr="00E377EA">
        <w:rPr>
          <w:rFonts w:ascii="Times New Roman" w:hAnsi="Times New Roman"/>
          <w:b/>
          <w:bCs/>
          <w:sz w:val="24"/>
          <w:szCs w:val="24"/>
          <w:lang w:val="lv-LV" w:eastAsia="lv-LV"/>
        </w:rPr>
        <w:t xml:space="preserve"> (anotācija)</w:t>
      </w:r>
    </w:p>
    <w:p w:rsidR="00A618C5" w:rsidRPr="00BA2928" w:rsidRDefault="00A618C5" w:rsidP="00A618C5">
      <w:pPr>
        <w:pStyle w:val="NormalWeb"/>
        <w:spacing w:before="0" w:beforeAutospacing="0" w:after="0" w:afterAutospacing="0"/>
        <w:jc w:val="center"/>
        <w:rPr>
          <w:rFonts w:ascii="Times New Roman" w:hAnsi="Times New Roman"/>
          <w:b/>
          <w:bCs/>
          <w:sz w:val="24"/>
          <w:szCs w:val="24"/>
          <w:lang w:val="lv-LV" w:eastAsia="lv-LV"/>
        </w:rPr>
      </w:pP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6"/>
        <w:gridCol w:w="2831"/>
        <w:gridCol w:w="5844"/>
      </w:tblGrid>
      <w:tr w:rsidR="00A618C5" w:rsidRPr="00FA75B1" w:rsidTr="00970C09">
        <w:trPr>
          <w:trHeight w:val="405"/>
        </w:trPr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A618C5" w:rsidRPr="00FA3933" w:rsidRDefault="00A618C5" w:rsidP="00970C09">
            <w:pPr>
              <w:spacing w:after="0" w:line="240" w:lineRule="auto"/>
              <w:ind w:firstLine="30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FA393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>I. Tiesību akta projekta izstrādes nepieciešamība</w:t>
            </w:r>
          </w:p>
        </w:tc>
      </w:tr>
      <w:tr w:rsidR="00A618C5" w:rsidRPr="00FA75B1" w:rsidTr="00970C09">
        <w:trPr>
          <w:trHeight w:val="405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FA3933" w:rsidRDefault="00A618C5" w:rsidP="00970C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FA393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26338F" w:rsidRDefault="00A618C5" w:rsidP="00970C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26338F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Pamatojums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Default="00FB4E1F" w:rsidP="00FB4E1F">
            <w:pPr>
              <w:pStyle w:val="Standard"/>
              <w:snapToGrid w:val="0"/>
              <w:ind w:firstLine="399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Ministru kabineta noteikumu projekts „Grozījum</w:t>
            </w:r>
            <w:r w:rsidR="00663663">
              <w:rPr>
                <w:rFonts w:cs="Times New Roman"/>
              </w:rPr>
              <w:t>i</w:t>
            </w:r>
            <w:r>
              <w:rPr>
                <w:rFonts w:cs="Times New Roman"/>
              </w:rPr>
              <w:t xml:space="preserve"> </w:t>
            </w:r>
            <w:r w:rsidRPr="00FB68EF">
              <w:t>2015.gada 30.jūnija noteikumos Nr.367 „Nacionālais numerācijas plāns</w:t>
            </w:r>
            <w:r>
              <w:t>”</w:t>
            </w:r>
            <w:r w:rsidR="00DD7D55">
              <w:t>”</w:t>
            </w:r>
            <w:bookmarkStart w:id="0" w:name="_GoBack"/>
            <w:bookmarkEnd w:id="0"/>
            <w:r>
              <w:rPr>
                <w:rFonts w:cs="Times New Roman"/>
              </w:rPr>
              <w:t xml:space="preserve"> (turpmāk –</w:t>
            </w:r>
            <w:r w:rsidR="00B04DBE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Noteikumu projekts) </w:t>
            </w:r>
            <w:r>
              <w:t xml:space="preserve"> </w:t>
            </w:r>
            <w:r>
              <w:rPr>
                <w:rFonts w:cs="Times New Roman"/>
              </w:rPr>
              <w:t xml:space="preserve">sagatavots saskaņā ar </w:t>
            </w:r>
            <w:r w:rsidR="0026338F" w:rsidRPr="0026338F">
              <w:rPr>
                <w:rFonts w:cs="Times New Roman"/>
              </w:rPr>
              <w:t>Elektronisko sakaru likuma 56.pant</w:t>
            </w:r>
            <w:r>
              <w:rPr>
                <w:rFonts w:cs="Times New Roman"/>
              </w:rPr>
              <w:t>u</w:t>
            </w:r>
            <w:r w:rsidR="0026338F" w:rsidRPr="0026338F">
              <w:rPr>
                <w:rFonts w:cs="Times New Roman"/>
              </w:rPr>
              <w:t>.</w:t>
            </w:r>
          </w:p>
          <w:p w:rsidR="00FB4E1F" w:rsidRPr="0026338F" w:rsidRDefault="00FB4E1F" w:rsidP="00FB4E1F">
            <w:pPr>
              <w:pStyle w:val="Standard"/>
              <w:snapToGrid w:val="0"/>
              <w:ind w:firstLine="399"/>
              <w:jc w:val="both"/>
              <w:rPr>
                <w:rFonts w:eastAsia="Times New Roman" w:cs="Times New Roman"/>
                <w:lang w:eastAsia="lv-LV"/>
              </w:rPr>
            </w:pPr>
          </w:p>
        </w:tc>
      </w:tr>
      <w:tr w:rsidR="00A618C5" w:rsidRPr="00FA75B1" w:rsidTr="00970C09">
        <w:trPr>
          <w:trHeight w:val="375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FA3933" w:rsidRDefault="00A618C5" w:rsidP="00970C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FA393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B12BCF" w:rsidRDefault="00A618C5" w:rsidP="00FB4E1F">
            <w:pPr>
              <w:spacing w:after="0" w:line="240" w:lineRule="auto"/>
              <w:ind w:right="119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B12BCF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Pašreizējā situācija un problēmas, kuru risināšanai tiesību akta projekts izstrādāts, tiesiskā regulējuma mērķis un būtība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B04DBE" w:rsidRPr="00404C76" w:rsidRDefault="00B04DBE" w:rsidP="00663663">
            <w:pPr>
              <w:pStyle w:val="Standard"/>
              <w:snapToGrid w:val="0"/>
              <w:ind w:firstLine="388"/>
              <w:jc w:val="both"/>
              <w:rPr>
                <w:rFonts w:cs="Times New Roman"/>
                <w:color w:val="000000"/>
                <w:shd w:val="clear" w:color="auto" w:fill="FAFAFA"/>
              </w:rPr>
            </w:pPr>
            <w:r w:rsidRPr="00B04DBE">
              <w:rPr>
                <w:rFonts w:cs="Times New Roman"/>
              </w:rPr>
              <w:t>Ministru kabineta 2015.gada 30.jūnija noteikumi</w:t>
            </w:r>
            <w:r w:rsidR="00C15D64">
              <w:rPr>
                <w:rFonts w:cs="Times New Roman"/>
              </w:rPr>
              <w:t xml:space="preserve"> </w:t>
            </w:r>
            <w:r w:rsidRPr="00B04DBE">
              <w:rPr>
                <w:rFonts w:cs="Times New Roman"/>
              </w:rPr>
              <w:t xml:space="preserve"> Nr.</w:t>
            </w:r>
            <w:r w:rsidRPr="00404C76">
              <w:rPr>
                <w:rFonts w:cs="Times New Roman"/>
              </w:rPr>
              <w:t xml:space="preserve">367 „Nacionālais numerācijas plāns”  (turpmāk - </w:t>
            </w:r>
            <w:r w:rsidR="009B24E2" w:rsidRPr="00404C76">
              <w:rPr>
                <w:rFonts w:cs="Times New Roman"/>
                <w:shd w:val="clear" w:color="auto" w:fill="FAFAFA"/>
              </w:rPr>
              <w:t>Nacionālais numerācijas plāns</w:t>
            </w:r>
            <w:r w:rsidRPr="00404C76">
              <w:rPr>
                <w:rFonts w:cs="Times New Roman"/>
                <w:shd w:val="clear" w:color="auto" w:fill="FAFAFA"/>
              </w:rPr>
              <w:t>)</w:t>
            </w:r>
            <w:r w:rsidR="009B24E2" w:rsidRPr="00404C76">
              <w:rPr>
                <w:rStyle w:val="apple-converted-space"/>
                <w:rFonts w:cs="Times New Roman"/>
                <w:color w:val="000000"/>
                <w:shd w:val="clear" w:color="auto" w:fill="FAFAFA"/>
              </w:rPr>
              <w:t> </w:t>
            </w:r>
            <w:r w:rsidR="009B24E2" w:rsidRPr="00404C76">
              <w:rPr>
                <w:rFonts w:cs="Times New Roman"/>
                <w:color w:val="000000"/>
                <w:shd w:val="clear" w:color="auto" w:fill="FAFAFA"/>
              </w:rPr>
              <w:t>nosaka numura struktūru un formātu tā identifikācijai un maršrutēšanai, numura sastādīšanas procedūras, kā arī numerācijas lietošanas mērķus un veidus.</w:t>
            </w:r>
            <w:r w:rsidRPr="00404C76">
              <w:rPr>
                <w:rFonts w:cs="Times New Roman"/>
                <w:color w:val="000000"/>
                <w:shd w:val="clear" w:color="auto" w:fill="FAFAFA"/>
              </w:rPr>
              <w:t xml:space="preserve"> </w:t>
            </w:r>
          </w:p>
          <w:p w:rsidR="00814759" w:rsidRDefault="005505D1" w:rsidP="00663663">
            <w:pPr>
              <w:pStyle w:val="Standard"/>
              <w:snapToGrid w:val="0"/>
              <w:ind w:firstLine="388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Jau</w:t>
            </w:r>
            <w:r w:rsidR="00814759">
              <w:rPr>
                <w:rFonts w:cs="Times New Roman"/>
              </w:rPr>
              <w:t xml:space="preserve"> </w:t>
            </w:r>
            <w:r w:rsidR="009E7C8A" w:rsidRPr="00655134">
              <w:rPr>
                <w:rFonts w:cs="Times New Roman"/>
              </w:rPr>
              <w:t xml:space="preserve">2010. gada </w:t>
            </w:r>
            <w:r w:rsidR="00A561B8" w:rsidRPr="00655134">
              <w:rPr>
                <w:rFonts w:cs="Times New Roman"/>
              </w:rPr>
              <w:t xml:space="preserve">Eiropas Pasta un </w:t>
            </w:r>
            <w:r w:rsidR="0024399F" w:rsidRPr="00655134">
              <w:rPr>
                <w:rFonts w:cs="Times New Roman"/>
              </w:rPr>
              <w:t>T</w:t>
            </w:r>
            <w:r w:rsidR="00A561B8" w:rsidRPr="00655134">
              <w:rPr>
                <w:rFonts w:cs="Times New Roman"/>
              </w:rPr>
              <w:t xml:space="preserve">elekomunikāciju administrāciju </w:t>
            </w:r>
            <w:r w:rsidR="0024399F" w:rsidRPr="00655134">
              <w:rPr>
                <w:rFonts w:cs="Times New Roman"/>
              </w:rPr>
              <w:t xml:space="preserve">konferences </w:t>
            </w:r>
            <w:r w:rsidR="00A561B8" w:rsidRPr="00655134">
              <w:rPr>
                <w:rFonts w:cs="Times New Roman"/>
              </w:rPr>
              <w:t xml:space="preserve">Elektronikas komunikāciju komitejas </w:t>
            </w:r>
            <w:r w:rsidR="00A561B8" w:rsidRPr="00655134">
              <w:rPr>
                <w:rFonts w:cs="Times New Roman"/>
                <w:i/>
              </w:rPr>
              <w:t xml:space="preserve">(The Electronic Communications Committee (ECC)) </w:t>
            </w:r>
            <w:r w:rsidR="00A561B8" w:rsidRPr="00655134">
              <w:rPr>
                <w:rFonts w:cs="Times New Roman"/>
              </w:rPr>
              <w:t xml:space="preserve">novembra </w:t>
            </w:r>
            <w:r w:rsidR="00A561B8" w:rsidRPr="0076421B">
              <w:rPr>
                <w:rFonts w:cs="Times New Roman"/>
              </w:rPr>
              <w:t>ziņojum</w:t>
            </w:r>
            <w:r w:rsidR="00536AA7" w:rsidRPr="0076421B">
              <w:rPr>
                <w:rFonts w:cs="Times New Roman"/>
              </w:rPr>
              <w:t>ā</w:t>
            </w:r>
            <w:r w:rsidR="00A561B8" w:rsidRPr="0076421B">
              <w:rPr>
                <w:rFonts w:cs="Times New Roman"/>
              </w:rPr>
              <w:t xml:space="preserve"> par numerāciju un adresēm </w:t>
            </w:r>
            <w:r w:rsidR="008D4324" w:rsidRPr="0076421B">
              <w:rPr>
                <w:rFonts w:cs="Times New Roman"/>
              </w:rPr>
              <w:t>m</w:t>
            </w:r>
            <w:r w:rsidR="00A561B8" w:rsidRPr="0076421B">
              <w:rPr>
                <w:rFonts w:cs="Times New Roman"/>
              </w:rPr>
              <w:t xml:space="preserve">ašīna – mašīna </w:t>
            </w:r>
            <w:r w:rsidR="0024399F" w:rsidRPr="0076421B">
              <w:rPr>
                <w:rFonts w:cs="Times New Roman"/>
              </w:rPr>
              <w:t xml:space="preserve">sakaros </w:t>
            </w:r>
            <w:r w:rsidR="00A561B8" w:rsidRPr="0076421B">
              <w:rPr>
                <w:rFonts w:cs="Times New Roman"/>
              </w:rPr>
              <w:t>(</w:t>
            </w:r>
            <w:r w:rsidR="00A561B8" w:rsidRPr="0076421B">
              <w:rPr>
                <w:rFonts w:cs="Times New Roman"/>
                <w:bCs/>
                <w:i/>
              </w:rPr>
              <w:t>ECC Report 153</w:t>
            </w:r>
            <w:r w:rsidR="00A561B8" w:rsidRPr="0076421B">
              <w:rPr>
                <w:rFonts w:cs="Times New Roman"/>
              </w:rPr>
              <w:t>)</w:t>
            </w:r>
            <w:r w:rsidR="00536AA7" w:rsidRPr="0076421B">
              <w:rPr>
                <w:rFonts w:cs="Times New Roman"/>
              </w:rPr>
              <w:t>,</w:t>
            </w:r>
            <w:r w:rsidR="00CC5AA7" w:rsidRPr="0076421B">
              <w:rPr>
                <w:rFonts w:cs="Times New Roman"/>
              </w:rPr>
              <w:t xml:space="preserve"> </w:t>
            </w:r>
            <w:r w:rsidR="007674BB" w:rsidRPr="0076421B">
              <w:rPr>
                <w:rFonts w:cs="Times New Roman"/>
              </w:rPr>
              <w:t xml:space="preserve">tiek </w:t>
            </w:r>
            <w:r w:rsidR="008D4324" w:rsidRPr="0076421B">
              <w:rPr>
                <w:rFonts w:cs="Times New Roman"/>
              </w:rPr>
              <w:t>minēts par</w:t>
            </w:r>
            <w:r w:rsidR="00536AA7" w:rsidRPr="0076421B">
              <w:rPr>
                <w:rFonts w:cs="Times New Roman"/>
              </w:rPr>
              <w:t xml:space="preserve"> </w:t>
            </w:r>
            <w:r w:rsidR="008D4324" w:rsidRPr="0076421B">
              <w:rPr>
                <w:rFonts w:cs="Times New Roman"/>
              </w:rPr>
              <w:t>m</w:t>
            </w:r>
            <w:r w:rsidR="00536AA7" w:rsidRPr="0076421B">
              <w:rPr>
                <w:rFonts w:cs="Times New Roman"/>
              </w:rPr>
              <w:t xml:space="preserve">ašīna – mašīna sakaru </w:t>
            </w:r>
            <w:r w:rsidR="00536AA7" w:rsidRPr="0076421B">
              <w:rPr>
                <w:rFonts w:cs="Times New Roman"/>
                <w:i/>
              </w:rPr>
              <w:t>(M2M communication)</w:t>
            </w:r>
            <w:r w:rsidR="00536AA7" w:rsidRPr="0076421B">
              <w:rPr>
                <w:rFonts w:cs="Times New Roman"/>
              </w:rPr>
              <w:t xml:space="preserve"> </w:t>
            </w:r>
            <w:r w:rsidR="00573F53">
              <w:rPr>
                <w:rFonts w:cs="Times New Roman"/>
              </w:rPr>
              <w:t xml:space="preserve">(turpmāk – M2M sakari) </w:t>
            </w:r>
            <w:r w:rsidR="00536AA7" w:rsidRPr="0076421B">
              <w:rPr>
                <w:rFonts w:cs="Times New Roman"/>
              </w:rPr>
              <w:t>strauj</w:t>
            </w:r>
            <w:r w:rsidR="008D4324" w:rsidRPr="0076421B">
              <w:rPr>
                <w:rFonts w:cs="Times New Roman"/>
              </w:rPr>
              <w:t>o</w:t>
            </w:r>
            <w:r w:rsidR="00536AA7" w:rsidRPr="0076421B">
              <w:rPr>
                <w:rFonts w:cs="Times New Roman"/>
              </w:rPr>
              <w:t xml:space="preserve"> attīstīb</w:t>
            </w:r>
            <w:r w:rsidR="008D4324" w:rsidRPr="0076421B">
              <w:rPr>
                <w:rFonts w:cs="Times New Roman"/>
              </w:rPr>
              <w:t>u</w:t>
            </w:r>
            <w:r w:rsidR="00814759">
              <w:rPr>
                <w:rFonts w:cs="Times New Roman"/>
              </w:rPr>
              <w:t>, ko apstiprina pēdējo gadu novērojumi un strauji augošā interese</w:t>
            </w:r>
            <w:r w:rsidR="00050DD4">
              <w:rPr>
                <w:rFonts w:cs="Times New Roman"/>
              </w:rPr>
              <w:t xml:space="preserve"> tirgū</w:t>
            </w:r>
            <w:r w:rsidR="00814759">
              <w:rPr>
                <w:rFonts w:cs="Times New Roman"/>
              </w:rPr>
              <w:t>.</w:t>
            </w:r>
          </w:p>
          <w:p w:rsidR="00503454" w:rsidRDefault="00655134" w:rsidP="00663663">
            <w:pPr>
              <w:pStyle w:val="Standard"/>
              <w:snapToGrid w:val="0"/>
              <w:ind w:firstLine="388"/>
              <w:jc w:val="both"/>
            </w:pPr>
            <w:r w:rsidRPr="0076421B">
              <w:rPr>
                <w:rFonts w:cs="Times New Roman"/>
              </w:rPr>
              <w:t>V</w:t>
            </w:r>
            <w:r w:rsidR="00B101CA" w:rsidRPr="0076421B">
              <w:rPr>
                <w:rFonts w:cs="Times New Roman"/>
              </w:rPr>
              <w:t>airumā gadījumu M2M sakaru</w:t>
            </w:r>
            <w:r w:rsidRPr="0076421B">
              <w:rPr>
                <w:rFonts w:cs="Times New Roman"/>
              </w:rPr>
              <w:t>s</w:t>
            </w:r>
            <w:r w:rsidR="00B101CA" w:rsidRPr="0076421B">
              <w:rPr>
                <w:rFonts w:cs="Times New Roman"/>
              </w:rPr>
              <w:t xml:space="preserve"> saprot kā pilnībā</w:t>
            </w:r>
            <w:r w:rsidRPr="0076421B">
              <w:rPr>
                <w:rFonts w:cs="Times New Roman"/>
              </w:rPr>
              <w:t>,</w:t>
            </w:r>
            <w:r w:rsidR="00B101CA" w:rsidRPr="0076421B">
              <w:rPr>
                <w:rFonts w:cs="Times New Roman"/>
              </w:rPr>
              <w:t xml:space="preserve"> vai lielā mērā automatizētu </w:t>
            </w:r>
            <w:r w:rsidR="008D4324" w:rsidRPr="0076421B">
              <w:rPr>
                <w:rFonts w:cs="Times New Roman"/>
              </w:rPr>
              <w:t>datu</w:t>
            </w:r>
            <w:r w:rsidR="00B101CA" w:rsidRPr="0076421B">
              <w:rPr>
                <w:rFonts w:cs="Times New Roman"/>
              </w:rPr>
              <w:t xml:space="preserve"> (informācijas</w:t>
            </w:r>
            <w:r w:rsidR="00010FD9" w:rsidRPr="0076421B">
              <w:rPr>
                <w:rFonts w:cs="Times New Roman"/>
              </w:rPr>
              <w:t>)</w:t>
            </w:r>
            <w:r w:rsidR="00B101CA" w:rsidRPr="0076421B">
              <w:rPr>
                <w:rFonts w:cs="Times New Roman"/>
              </w:rPr>
              <w:t xml:space="preserve"> pārsūtīšan</w:t>
            </w:r>
            <w:r w:rsidR="00010FD9" w:rsidRPr="0076421B">
              <w:rPr>
                <w:rFonts w:cs="Times New Roman"/>
              </w:rPr>
              <w:t>u</w:t>
            </w:r>
            <w:r w:rsidR="00B101CA" w:rsidRPr="0076421B">
              <w:rPr>
                <w:rFonts w:cs="Times New Roman"/>
              </w:rPr>
              <w:t xml:space="preserve"> starp divām vai </w:t>
            </w:r>
            <w:r w:rsidR="0076421B" w:rsidRPr="0076421B">
              <w:rPr>
                <w:rFonts w:cs="Times New Roman"/>
              </w:rPr>
              <w:t xml:space="preserve">pat </w:t>
            </w:r>
            <w:r w:rsidR="00B101CA" w:rsidRPr="0076421B">
              <w:rPr>
                <w:rFonts w:cs="Times New Roman"/>
              </w:rPr>
              <w:t>vairāk</w:t>
            </w:r>
            <w:r w:rsidRPr="0076421B">
              <w:rPr>
                <w:rFonts w:cs="Times New Roman"/>
              </w:rPr>
              <w:t>ām</w:t>
            </w:r>
            <w:r w:rsidR="00B101CA" w:rsidRPr="0076421B">
              <w:rPr>
                <w:rFonts w:cs="Times New Roman"/>
              </w:rPr>
              <w:t xml:space="preserve"> informācijas </w:t>
            </w:r>
            <w:r w:rsidR="0076421B" w:rsidRPr="0076421B">
              <w:rPr>
                <w:rFonts w:cs="Times New Roman"/>
              </w:rPr>
              <w:t xml:space="preserve">un </w:t>
            </w:r>
            <w:r w:rsidR="0076421B" w:rsidRPr="0076421B">
              <w:t xml:space="preserve">komunikāciju </w:t>
            </w:r>
            <w:r w:rsidR="009E7C8A">
              <w:t xml:space="preserve">tehnikas </w:t>
            </w:r>
            <w:r w:rsidR="0076421B" w:rsidRPr="0076421B">
              <w:t>vienībām, starp ierīcēm un lietojumprogrammām.</w:t>
            </w:r>
          </w:p>
          <w:p w:rsidR="00C55704" w:rsidRDefault="007A05C6" w:rsidP="00C55704">
            <w:pPr>
              <w:pStyle w:val="Standard"/>
              <w:snapToGrid w:val="0"/>
              <w:ind w:firstLine="388"/>
              <w:jc w:val="both"/>
              <w:rPr>
                <w:rFonts w:cs="Times New Roman"/>
                <w:shd w:val="clear" w:color="auto" w:fill="FFFFFF"/>
              </w:rPr>
            </w:pPr>
            <w:r w:rsidRPr="0076421B">
              <w:rPr>
                <w:rFonts w:cs="Times New Roman"/>
                <w:shd w:val="clear" w:color="auto" w:fill="FAFAFA"/>
              </w:rPr>
              <w:t>Izmantošana</w:t>
            </w:r>
            <w:r w:rsidR="00C46D4E" w:rsidRPr="0076421B">
              <w:rPr>
                <w:rFonts w:cs="Times New Roman"/>
                <w:shd w:val="clear" w:color="auto" w:fill="FAFAFA"/>
              </w:rPr>
              <w:t xml:space="preserve"> valstī</w:t>
            </w:r>
            <w:r w:rsidR="00EF0FDC" w:rsidRPr="0076421B">
              <w:rPr>
                <w:rFonts w:cs="Times New Roman"/>
                <w:shd w:val="clear" w:color="auto" w:fill="FAFAFA"/>
              </w:rPr>
              <w:t>:</w:t>
            </w:r>
            <w:r w:rsidR="00C46D4E" w:rsidRPr="0076421B">
              <w:rPr>
                <w:rFonts w:cs="Times New Roman"/>
                <w:shd w:val="clear" w:color="auto" w:fill="FAFAFA"/>
              </w:rPr>
              <w:t xml:space="preserve"> elektronisko sakaru komersanti</w:t>
            </w:r>
            <w:r w:rsidR="00C46D4E" w:rsidRPr="00583017">
              <w:rPr>
                <w:rFonts w:cs="Times New Roman"/>
                <w:shd w:val="clear" w:color="auto" w:fill="FAFAFA"/>
              </w:rPr>
              <w:t xml:space="preserve"> piedāvā </w:t>
            </w:r>
            <w:r w:rsidR="00C46D4E" w:rsidRPr="00537480">
              <w:rPr>
                <w:rFonts w:cs="Times New Roman"/>
                <w:shd w:val="clear" w:color="auto" w:fill="FAFAFA"/>
              </w:rPr>
              <w:t>klientiem M2M pakalpojumus</w:t>
            </w:r>
            <w:r w:rsidR="003659E0" w:rsidRPr="00537480">
              <w:rPr>
                <w:rFonts w:cs="Times New Roman"/>
                <w:shd w:val="clear" w:color="auto" w:fill="FAFAFA"/>
              </w:rPr>
              <w:t>, izmantojot SIM karti</w:t>
            </w:r>
            <w:r w:rsidR="00583017" w:rsidRPr="00537480">
              <w:rPr>
                <w:rFonts w:cs="Times New Roman"/>
                <w:shd w:val="clear" w:color="auto" w:fill="FAFAFA"/>
              </w:rPr>
              <w:t xml:space="preserve"> </w:t>
            </w:r>
            <w:r w:rsidR="00583017" w:rsidRPr="00537480">
              <w:rPr>
                <w:rFonts w:cs="Times New Roman"/>
                <w:shd w:val="clear" w:color="auto" w:fill="FFFFFF"/>
              </w:rPr>
              <w:t xml:space="preserve">un pieslēdzot </w:t>
            </w:r>
            <w:r w:rsidR="00BE055D" w:rsidRPr="00537480">
              <w:rPr>
                <w:rFonts w:cs="Times New Roman"/>
                <w:shd w:val="clear" w:color="auto" w:fill="FFFFFF"/>
              </w:rPr>
              <w:t>iekārtas</w:t>
            </w:r>
            <w:r w:rsidR="00583017" w:rsidRPr="00537480">
              <w:rPr>
                <w:rFonts w:cs="Times New Roman"/>
                <w:shd w:val="clear" w:color="auto" w:fill="FFFFFF"/>
              </w:rPr>
              <w:t xml:space="preserve"> mobilo sakaru tīklam</w:t>
            </w:r>
            <w:r w:rsidR="003659E0" w:rsidRPr="00537480">
              <w:rPr>
                <w:rFonts w:cs="Times New Roman"/>
                <w:shd w:val="clear" w:color="auto" w:fill="FAFAFA"/>
              </w:rPr>
              <w:t>. Pakalpojumi</w:t>
            </w:r>
            <w:r w:rsidR="00C46D4E" w:rsidRPr="00537480">
              <w:rPr>
                <w:rFonts w:cs="Times New Roman"/>
                <w:shd w:val="clear" w:color="auto" w:fill="FAFAFA"/>
              </w:rPr>
              <w:t xml:space="preserve"> </w:t>
            </w:r>
            <w:r w:rsidR="00C46D4E" w:rsidRPr="00537480">
              <w:rPr>
                <w:rFonts w:cs="Times New Roman"/>
                <w:shd w:val="clear" w:color="auto" w:fill="FFFFFF"/>
              </w:rPr>
              <w:t>nodrošina reālā laika informācijas nosūtīšanu un saņemšanu starp iekārtām, kas pieslēgtas internetam</w:t>
            </w:r>
            <w:r w:rsidR="00537480" w:rsidRPr="00537480">
              <w:rPr>
                <w:rFonts w:cs="Times New Roman"/>
                <w:shd w:val="clear" w:color="auto" w:fill="FFFFFF"/>
              </w:rPr>
              <w:t xml:space="preserve"> vai arī izmantojot radioviļņu palīdzību</w:t>
            </w:r>
            <w:r w:rsidR="00C46D4E" w:rsidRPr="00537480">
              <w:rPr>
                <w:rFonts w:cs="Times New Roman"/>
                <w:shd w:val="clear" w:color="auto" w:fill="FFFFFF"/>
              </w:rPr>
              <w:t xml:space="preserve">. </w:t>
            </w:r>
            <w:r w:rsidR="00573F53">
              <w:rPr>
                <w:rFonts w:cs="Times New Roman"/>
                <w:shd w:val="clear" w:color="auto" w:fill="FFFFFF"/>
              </w:rPr>
              <w:t xml:space="preserve">Paredzams, ka darījumi ar </w:t>
            </w:r>
            <w:r w:rsidR="00573F53" w:rsidRPr="00537480">
              <w:rPr>
                <w:rFonts w:cs="Times New Roman"/>
                <w:color w:val="031703"/>
                <w:shd w:val="clear" w:color="auto" w:fill="FFFFFF"/>
              </w:rPr>
              <w:t xml:space="preserve">M2M </w:t>
            </w:r>
            <w:r w:rsidR="00573F53">
              <w:rPr>
                <w:rFonts w:cs="Times New Roman"/>
                <w:color w:val="031703"/>
                <w:shd w:val="clear" w:color="auto" w:fill="FFFFFF"/>
              </w:rPr>
              <w:t>pakalpojumiem</w:t>
            </w:r>
            <w:r w:rsidR="00573F53" w:rsidRPr="00537480">
              <w:rPr>
                <w:rFonts w:cs="Times New Roman"/>
                <w:color w:val="031703"/>
                <w:shd w:val="clear" w:color="auto" w:fill="FFFFFF"/>
              </w:rPr>
              <w:t xml:space="preserve"> augs kopsolī</w:t>
            </w:r>
            <w:r w:rsidR="00C20D12" w:rsidRPr="00537480">
              <w:rPr>
                <w:rFonts w:cs="Times New Roman"/>
                <w:color w:val="031703"/>
                <w:shd w:val="clear" w:color="auto" w:fill="FFFFFF"/>
              </w:rPr>
              <w:t xml:space="preserve"> ar dažādu mobilo aplikāciju izplatību, </w:t>
            </w:r>
            <w:r w:rsidR="009B49D9">
              <w:rPr>
                <w:rFonts w:cs="Times New Roman"/>
                <w:color w:val="031703"/>
                <w:shd w:val="clear" w:color="auto" w:fill="FFFFFF"/>
              </w:rPr>
              <w:t>un</w:t>
            </w:r>
            <w:r w:rsidR="00C20D12" w:rsidRPr="00537480">
              <w:rPr>
                <w:rFonts w:cs="Times New Roman"/>
                <w:color w:val="031703"/>
                <w:shd w:val="clear" w:color="auto" w:fill="FFFFFF"/>
              </w:rPr>
              <w:t xml:space="preserve"> </w:t>
            </w:r>
            <w:r w:rsidR="009B49D9">
              <w:rPr>
                <w:rFonts w:cs="Times New Roman"/>
                <w:color w:val="031703"/>
                <w:shd w:val="clear" w:color="auto" w:fill="FFFFFF"/>
              </w:rPr>
              <w:t xml:space="preserve">aizvien plašāk </w:t>
            </w:r>
            <w:r w:rsidR="00C20D12" w:rsidRPr="00537480">
              <w:rPr>
                <w:rFonts w:cs="Times New Roman"/>
                <w:color w:val="031703"/>
                <w:shd w:val="clear" w:color="auto" w:fill="FFFFFF"/>
              </w:rPr>
              <w:t>ļau</w:t>
            </w:r>
            <w:r w:rsidR="009B49D9">
              <w:rPr>
                <w:rFonts w:cs="Times New Roman"/>
                <w:color w:val="031703"/>
                <w:shd w:val="clear" w:color="auto" w:fill="FFFFFF"/>
              </w:rPr>
              <w:t>s</w:t>
            </w:r>
            <w:r w:rsidR="00C20D12" w:rsidRPr="00537480">
              <w:rPr>
                <w:rFonts w:cs="Times New Roman"/>
                <w:color w:val="031703"/>
                <w:shd w:val="clear" w:color="auto" w:fill="FFFFFF"/>
              </w:rPr>
              <w:t xml:space="preserve"> izmanto</w:t>
            </w:r>
            <w:r w:rsidR="00537480">
              <w:rPr>
                <w:rFonts w:cs="Times New Roman"/>
                <w:color w:val="031703"/>
                <w:shd w:val="clear" w:color="auto" w:fill="FFFFFF"/>
              </w:rPr>
              <w:t>t</w:t>
            </w:r>
            <w:r w:rsidR="00C20D12" w:rsidRPr="00537480">
              <w:rPr>
                <w:rFonts w:cs="Times New Roman"/>
                <w:color w:val="031703"/>
                <w:shd w:val="clear" w:color="auto" w:fill="FFFFFF"/>
              </w:rPr>
              <w:t xml:space="preserve"> daž</w:t>
            </w:r>
            <w:r w:rsidR="009B49D9">
              <w:rPr>
                <w:rFonts w:cs="Times New Roman"/>
                <w:color w:val="031703"/>
                <w:shd w:val="clear" w:color="auto" w:fill="FFFFFF"/>
              </w:rPr>
              <w:t>nedažādu</w:t>
            </w:r>
            <w:r w:rsidR="00C20D12" w:rsidRPr="00537480">
              <w:rPr>
                <w:rFonts w:cs="Times New Roman"/>
                <w:color w:val="031703"/>
                <w:shd w:val="clear" w:color="auto" w:fill="FFFFFF"/>
              </w:rPr>
              <w:t xml:space="preserve"> sensoru</w:t>
            </w:r>
            <w:r w:rsidR="00912F8C">
              <w:rPr>
                <w:rFonts w:cs="Times New Roman"/>
                <w:color w:val="031703"/>
                <w:shd w:val="clear" w:color="auto" w:fill="FFFFFF"/>
              </w:rPr>
              <w:t xml:space="preserve"> iekrātos datus.</w:t>
            </w:r>
            <w:r w:rsidR="00FB1A6F">
              <w:rPr>
                <w:rFonts w:cs="Times New Roman"/>
                <w:color w:val="031703"/>
                <w:shd w:val="clear" w:color="auto" w:fill="FFFFFF"/>
              </w:rPr>
              <w:t xml:space="preserve"> </w:t>
            </w:r>
            <w:r w:rsidR="00C55704" w:rsidRPr="00583017">
              <w:rPr>
                <w:rFonts w:cs="Times New Roman"/>
                <w:shd w:val="clear" w:color="auto" w:fill="FFFFFF"/>
              </w:rPr>
              <w:t xml:space="preserve">M2M </w:t>
            </w:r>
            <w:r w:rsidR="00573F53">
              <w:rPr>
                <w:rFonts w:cs="Times New Roman"/>
                <w:shd w:val="clear" w:color="auto" w:fill="FFFFFF"/>
              </w:rPr>
              <w:t xml:space="preserve">sakarus </w:t>
            </w:r>
            <w:r w:rsidR="00C55704" w:rsidRPr="00583017">
              <w:rPr>
                <w:rFonts w:cs="Times New Roman"/>
                <w:shd w:val="clear" w:color="auto" w:fill="FFFFFF"/>
              </w:rPr>
              <w:t>izmanto skaitītāju mērījumu nolasīšanai, kravu atrašanās vietas noteikšanai, preču uzskaites automatizēšanai</w:t>
            </w:r>
            <w:r w:rsidR="00C55704" w:rsidRPr="00C46D4E">
              <w:rPr>
                <w:rFonts w:cs="Times New Roman"/>
                <w:shd w:val="clear" w:color="auto" w:fill="FFFFFF"/>
              </w:rPr>
              <w:t>, apsardzes sistēmās un daudz kur citur</w:t>
            </w:r>
            <w:r w:rsidR="00C55704">
              <w:rPr>
                <w:rFonts w:cs="Times New Roman"/>
                <w:shd w:val="clear" w:color="auto" w:fill="FFFFFF"/>
              </w:rPr>
              <w:t xml:space="preserve">. </w:t>
            </w:r>
          </w:p>
          <w:p w:rsidR="00573F53" w:rsidRDefault="00573F53" w:rsidP="00573F53">
            <w:pPr>
              <w:pStyle w:val="Standard"/>
              <w:snapToGrid w:val="0"/>
              <w:ind w:firstLine="388"/>
              <w:jc w:val="both"/>
            </w:pPr>
            <w:r w:rsidRPr="00537480">
              <w:rPr>
                <w:rFonts w:cs="Times New Roman"/>
              </w:rPr>
              <w:t>Ta</w:t>
            </w:r>
            <w:r>
              <w:rPr>
                <w:rFonts w:cs="Times New Roman"/>
              </w:rPr>
              <w:t xml:space="preserve">i </w:t>
            </w:r>
            <w:r w:rsidRPr="00537480">
              <w:rPr>
                <w:rFonts w:cs="Times New Roman"/>
              </w:rPr>
              <w:t>pa</w:t>
            </w:r>
            <w:r>
              <w:rPr>
                <w:rFonts w:cs="Times New Roman"/>
              </w:rPr>
              <w:t>šā laikā</w:t>
            </w:r>
            <w:r>
              <w:t xml:space="preserve"> arvien vairāk ir palielinājies pieprasījums pēc augstas kvalitātes fiksēto un bezvadu savienojumu pakalpojumiem, pieaugot tiešsaistes satura pakalpojumu skaitam un popularitātei, piemēram, mākoņdatošana, lietiskais internets, mašīnas-mašīnas sakari (M2M) u.c. pakalpojumi.</w:t>
            </w:r>
          </w:p>
          <w:p w:rsidR="00EF0FDC" w:rsidRDefault="00356E4A" w:rsidP="008D4324">
            <w:pPr>
              <w:pStyle w:val="Standard"/>
              <w:snapToGrid w:val="0"/>
              <w:ind w:firstLine="388"/>
              <w:jc w:val="both"/>
            </w:pPr>
            <w:r>
              <w:t xml:space="preserve">Sabiedrisko pakalpojumu regulēšanas komisija (turpmāk - </w:t>
            </w:r>
            <w:r w:rsidRPr="000B7C1A">
              <w:t>Regulators</w:t>
            </w:r>
            <w:r>
              <w:t>)</w:t>
            </w:r>
            <w:r w:rsidR="008D4324" w:rsidRPr="004A5110">
              <w:t xml:space="preserve"> </w:t>
            </w:r>
            <w:r w:rsidR="00EF0FDC">
              <w:t>informējusi</w:t>
            </w:r>
            <w:r w:rsidR="008D4324" w:rsidRPr="004A5110">
              <w:t xml:space="preserve">, ka patlaban </w:t>
            </w:r>
            <w:r w:rsidR="008D4324" w:rsidRPr="004A5110">
              <w:lastRenderedPageBreak/>
              <w:t>elektronisko sakaru komersanti piedāvā saviem galalietotājiem M2M pakalpojumus, k</w:t>
            </w:r>
            <w:r w:rsidR="00573F53">
              <w:t>as</w:t>
            </w:r>
            <w:r w:rsidR="008D4324" w:rsidRPr="004A5110">
              <w:t xml:space="preserve"> ir pretrunā Nacionālā numerācijas plān</w:t>
            </w:r>
            <w:r w:rsidR="008660FA">
              <w:t xml:space="preserve">ā </w:t>
            </w:r>
            <w:r w:rsidR="008D4324">
              <w:t>noteikt</w:t>
            </w:r>
            <w:r w:rsidR="008660FA">
              <w:t>iem</w:t>
            </w:r>
            <w:r w:rsidR="008D4324">
              <w:t xml:space="preserve"> lietošanas mērķi</w:t>
            </w:r>
            <w:r w:rsidR="008660FA">
              <w:t>em</w:t>
            </w:r>
            <w:r w:rsidR="008D4324">
              <w:t xml:space="preserve">. </w:t>
            </w:r>
            <w:r w:rsidR="00EF0FDC">
              <w:t>Vides aizsardzības un reģionālās attīstības ministrijas Numerācijas resursu izmantošanas koordinācijas darba grup</w:t>
            </w:r>
            <w:r w:rsidR="00635525">
              <w:t>ā</w:t>
            </w:r>
            <w:r w:rsidR="00EF0FDC">
              <w:t xml:space="preserve"> vairākkārt tika diskutēts par “mašīna – mašīna” </w:t>
            </w:r>
            <w:r w:rsidR="00EF0FDC" w:rsidRPr="003B4966">
              <w:t>numerācijas ieviešanas priekšlikum</w:t>
            </w:r>
            <w:r w:rsidR="00EF0FDC">
              <w:t xml:space="preserve">u un </w:t>
            </w:r>
            <w:r w:rsidR="00EF0FDC" w:rsidRPr="005127C1">
              <w:t>jaun</w:t>
            </w:r>
            <w:r w:rsidR="008A6D4B">
              <w:t>a</w:t>
            </w:r>
            <w:r w:rsidR="00EF0FDC" w:rsidRPr="005127C1">
              <w:t xml:space="preserve"> numerācijas dia</w:t>
            </w:r>
            <w:r w:rsidR="00EF0FDC">
              <w:t>pazon</w:t>
            </w:r>
            <w:r w:rsidR="008A6D4B">
              <w:t>a</w:t>
            </w:r>
            <w:r w:rsidR="00EF0FDC">
              <w:t xml:space="preserve"> </w:t>
            </w:r>
            <w:r w:rsidR="008A6D4B">
              <w:t xml:space="preserve">atvēršanu </w:t>
            </w:r>
            <w:r w:rsidR="00EF0FDC">
              <w:t xml:space="preserve">M2M iekārtu izmantošanai. </w:t>
            </w:r>
          </w:p>
          <w:p w:rsidR="00B05FFD" w:rsidRPr="00E34D0A" w:rsidRDefault="00573F53" w:rsidP="00B05FFD">
            <w:pPr>
              <w:pStyle w:val="Standard"/>
              <w:snapToGrid w:val="0"/>
              <w:ind w:right="140" w:firstLine="388"/>
              <w:jc w:val="both"/>
              <w:rPr>
                <w:rFonts w:cs="Times New Roman"/>
                <w:color w:val="000000"/>
                <w:shd w:val="clear" w:color="auto" w:fill="FAFAFA"/>
              </w:rPr>
            </w:pPr>
            <w:r>
              <w:rPr>
                <w:rFonts w:cs="Times New Roman"/>
                <w:color w:val="000000"/>
                <w:shd w:val="clear" w:color="auto" w:fill="FAFAFA"/>
              </w:rPr>
              <w:t>N</w:t>
            </w:r>
            <w:r w:rsidR="006E0DF9">
              <w:rPr>
                <w:rFonts w:cs="Times New Roman"/>
                <w:color w:val="000000"/>
                <w:shd w:val="clear" w:color="auto" w:fill="FAFAFA"/>
              </w:rPr>
              <w:t xml:space="preserve">oteikumu projekts paredz </w:t>
            </w:r>
            <w:r w:rsidR="00BE055D" w:rsidRPr="00D66349">
              <w:rPr>
                <w:rFonts w:cs="Times New Roman"/>
                <w:color w:val="000000"/>
                <w:shd w:val="clear" w:color="auto" w:fill="FAFAFA"/>
              </w:rPr>
              <w:t>Nacionāl</w:t>
            </w:r>
            <w:r w:rsidR="006E0DF9">
              <w:rPr>
                <w:rFonts w:cs="Times New Roman"/>
                <w:color w:val="000000"/>
                <w:shd w:val="clear" w:color="auto" w:fill="FAFAFA"/>
              </w:rPr>
              <w:t>ā</w:t>
            </w:r>
            <w:r w:rsidR="00BE055D" w:rsidRPr="00D66349">
              <w:rPr>
                <w:rFonts w:cs="Times New Roman"/>
                <w:color w:val="000000"/>
                <w:shd w:val="clear" w:color="auto" w:fill="FAFAFA"/>
              </w:rPr>
              <w:t xml:space="preserve"> numerācijas plān</w:t>
            </w:r>
            <w:r w:rsidR="00B05FFD">
              <w:rPr>
                <w:rFonts w:cs="Times New Roman"/>
                <w:color w:val="000000"/>
                <w:shd w:val="clear" w:color="auto" w:fill="FAFAFA"/>
              </w:rPr>
              <w:t>a terminu sadaļu</w:t>
            </w:r>
            <w:r w:rsidR="00BE055D" w:rsidRPr="00D66349">
              <w:rPr>
                <w:rFonts w:cs="Times New Roman"/>
                <w:color w:val="000000"/>
                <w:shd w:val="clear" w:color="auto" w:fill="FAFAFA"/>
              </w:rPr>
              <w:t xml:space="preserve"> </w:t>
            </w:r>
            <w:r w:rsidR="003F5634" w:rsidRPr="00D66349">
              <w:rPr>
                <w:rFonts w:cs="Times New Roman"/>
                <w:shd w:val="clear" w:color="auto" w:fill="FAFAFA"/>
              </w:rPr>
              <w:t>papildināt</w:t>
            </w:r>
            <w:r w:rsidR="00B05FFD" w:rsidRPr="00160719">
              <w:rPr>
                <w:rFonts w:cs="Times New Roman"/>
                <w:color w:val="000000"/>
                <w:shd w:val="clear" w:color="auto" w:fill="FAFAFA"/>
              </w:rPr>
              <w:t xml:space="preserve"> ar terminu “</w:t>
            </w:r>
            <w:r w:rsidR="00B05FFD" w:rsidRPr="00E34D0A">
              <w:rPr>
                <w:rFonts w:cs="Times New Roman"/>
                <w:color w:val="000000"/>
                <w:shd w:val="clear" w:color="auto" w:fill="FAFAFA"/>
              </w:rPr>
              <w:t>m</w:t>
            </w:r>
            <w:r w:rsidR="00B05FFD" w:rsidRPr="00E34D0A">
              <w:t>ašīna – mašīna sakari</w:t>
            </w:r>
            <w:r w:rsidR="00B05FFD" w:rsidRPr="00E34D0A">
              <w:rPr>
                <w:rFonts w:cs="Times New Roman"/>
                <w:color w:val="000000"/>
                <w:shd w:val="clear" w:color="auto" w:fill="FAFAFA"/>
              </w:rPr>
              <w:t xml:space="preserve">” un </w:t>
            </w:r>
            <w:r>
              <w:rPr>
                <w:rFonts w:cs="Times New Roman"/>
                <w:color w:val="000000"/>
                <w:shd w:val="clear" w:color="auto" w:fill="FAFAFA"/>
              </w:rPr>
              <w:t xml:space="preserve">papildināt </w:t>
            </w:r>
            <w:r w:rsidR="00B05FFD" w:rsidRPr="00E34D0A">
              <w:t>1.</w:t>
            </w:r>
            <w:r>
              <w:t xml:space="preserve"> </w:t>
            </w:r>
            <w:r w:rsidR="00B05FFD" w:rsidRPr="00E34D0A">
              <w:t>pielikuma 1.</w:t>
            </w:r>
            <w:r>
              <w:t xml:space="preserve"> </w:t>
            </w:r>
            <w:r w:rsidR="00B05FFD" w:rsidRPr="00E34D0A">
              <w:t>tabul</w:t>
            </w:r>
            <w:r w:rsidR="00B05FFD">
              <w:t>u</w:t>
            </w:r>
            <w:r w:rsidR="00B05FFD" w:rsidRPr="00E34D0A">
              <w:t xml:space="preserve"> </w:t>
            </w:r>
            <w:r w:rsidR="00B05FFD">
              <w:t xml:space="preserve">ar numerācijas diapazonu “3XXXXXXX” </w:t>
            </w:r>
            <w:r w:rsidR="00B05FFD" w:rsidRPr="00E34D0A">
              <w:rPr>
                <w:rFonts w:cs="Times New Roman"/>
                <w:color w:val="000000"/>
                <w:shd w:val="clear" w:color="auto" w:fill="FAFAFA"/>
              </w:rPr>
              <w:t>m</w:t>
            </w:r>
            <w:r w:rsidR="00B05FFD" w:rsidRPr="00E34D0A">
              <w:t>ašīna – mašīna sakari</w:t>
            </w:r>
            <w:r w:rsidR="000A6DBA">
              <w:t>em</w:t>
            </w:r>
            <w:r w:rsidR="00B05FFD">
              <w:t>. N</w:t>
            </w:r>
            <w:r w:rsidR="00B05FFD" w:rsidRPr="00E34D0A">
              <w:t xml:space="preserve">acionālo numuru dalījums </w:t>
            </w:r>
            <w:r w:rsidR="00B05FFD">
              <w:t>(</w:t>
            </w:r>
            <w:r w:rsidRPr="00404C76">
              <w:rPr>
                <w:rFonts w:cs="Times New Roman"/>
                <w:shd w:val="clear" w:color="auto" w:fill="FAFAFA"/>
              </w:rPr>
              <w:t>Nacionālais numerācijas plāns</w:t>
            </w:r>
            <w:r>
              <w:t xml:space="preserve"> </w:t>
            </w:r>
            <w:r w:rsidR="00B05FFD">
              <w:t xml:space="preserve">II.sadaļas 8.punkts) tiek papildināts, </w:t>
            </w:r>
            <w:r w:rsidR="00B05FFD" w:rsidRPr="00E34D0A">
              <w:t>esošajam publiskā fiksētā telefonu tīkla, publiskā mobilā telefonu tīkla un pakalpojumu numur</w:t>
            </w:r>
            <w:r w:rsidR="00B05FFD">
              <w:t xml:space="preserve">iem </w:t>
            </w:r>
            <w:r w:rsidR="00B05FFD" w:rsidRPr="00E34D0A">
              <w:t xml:space="preserve">pievienojot </w:t>
            </w:r>
            <w:r w:rsidR="00B05FFD">
              <w:t>dalījumu</w:t>
            </w:r>
            <w:r w:rsidR="00ED51C3">
              <w:t>:</w:t>
            </w:r>
            <w:r w:rsidR="00B05FFD">
              <w:t xml:space="preserve"> </w:t>
            </w:r>
            <w:r w:rsidR="00B05FFD" w:rsidRPr="00E34D0A">
              <w:t>starpierīču saziņas numur</w:t>
            </w:r>
            <w:r w:rsidR="00B05FFD">
              <w:t>i</w:t>
            </w:r>
            <w:r w:rsidR="00B05FFD" w:rsidRPr="00E34D0A">
              <w:t xml:space="preserve"> </w:t>
            </w:r>
            <w:r w:rsidR="00B05FFD">
              <w:t>“</w:t>
            </w:r>
            <w:r w:rsidR="00B05FFD" w:rsidRPr="00E34D0A">
              <w:t>mašīna – mašīna sakariem</w:t>
            </w:r>
            <w:r w:rsidR="00B05FFD">
              <w:t>”</w:t>
            </w:r>
            <w:r w:rsidR="00B05FFD" w:rsidRPr="00E34D0A">
              <w:t xml:space="preserve">. </w:t>
            </w:r>
          </w:p>
          <w:p w:rsidR="00356E4A" w:rsidRDefault="00527246" w:rsidP="00522052">
            <w:pPr>
              <w:pStyle w:val="Standard"/>
              <w:snapToGrid w:val="0"/>
              <w:ind w:firstLine="388"/>
              <w:jc w:val="both"/>
              <w:rPr>
                <w:shd w:val="clear" w:color="auto" w:fill="FFFFFF"/>
              </w:rPr>
            </w:pPr>
            <w:r>
              <w:t>Papildus minētaj</w:t>
            </w:r>
            <w:r w:rsidR="00A70CE8">
              <w:t>iem precizējumiem</w:t>
            </w:r>
            <w:r>
              <w:t xml:space="preserve">, </w:t>
            </w:r>
            <w:r w:rsidR="00420791">
              <w:t xml:space="preserve">tiek </w:t>
            </w:r>
            <w:r w:rsidR="006D180A">
              <w:t xml:space="preserve">paredzēts </w:t>
            </w:r>
            <w:r w:rsidR="00A70CE8">
              <w:t>Nacionālā numerācijas plāna</w:t>
            </w:r>
            <w:r w:rsidR="00A70CE8" w:rsidRPr="00D66349">
              <w:t xml:space="preserve"> </w:t>
            </w:r>
            <w:r w:rsidR="006D180A" w:rsidRPr="00D66349">
              <w:t>1.pielikuma 1.tabul</w:t>
            </w:r>
            <w:r w:rsidR="006D180A">
              <w:t xml:space="preserve">ā, “Numuri” papildināt </w:t>
            </w:r>
            <w:r w:rsidR="008660FA" w:rsidRPr="00D66349">
              <w:rPr>
                <w:rFonts w:cs="Times New Roman"/>
              </w:rPr>
              <w:t>numerācijas indeks</w:t>
            </w:r>
            <w:r w:rsidR="009E0F6B">
              <w:rPr>
                <w:rFonts w:cs="Times New Roman"/>
              </w:rPr>
              <w:t>u</w:t>
            </w:r>
            <w:r w:rsidR="008660FA" w:rsidRPr="00D66349">
              <w:rPr>
                <w:rFonts w:cs="Times New Roman"/>
              </w:rPr>
              <w:t xml:space="preserve"> </w:t>
            </w:r>
            <w:r w:rsidR="00672E1B">
              <w:rPr>
                <w:rFonts w:cs="Times New Roman"/>
              </w:rPr>
              <w:t>“</w:t>
            </w:r>
            <w:r w:rsidR="008660FA" w:rsidRPr="00D66349">
              <w:rPr>
                <w:rFonts w:cs="Times New Roman"/>
              </w:rPr>
              <w:t>2XXXXXXX</w:t>
            </w:r>
            <w:r w:rsidR="00672E1B">
              <w:rPr>
                <w:rFonts w:cs="Times New Roman"/>
              </w:rPr>
              <w:t>”</w:t>
            </w:r>
            <w:r w:rsidR="008660FA" w:rsidRPr="00D66349">
              <w:rPr>
                <w:rFonts w:cs="Times New Roman"/>
              </w:rPr>
              <w:t xml:space="preserve"> un </w:t>
            </w:r>
            <w:r w:rsidR="00672E1B">
              <w:rPr>
                <w:rFonts w:cs="Times New Roman"/>
              </w:rPr>
              <w:t>“</w:t>
            </w:r>
            <w:r w:rsidR="008660FA" w:rsidRPr="00D66349">
              <w:rPr>
                <w:rFonts w:cs="Times New Roman"/>
                <w:shd w:val="clear" w:color="auto" w:fill="FFFFFF"/>
              </w:rPr>
              <w:t>6XXXXXXX</w:t>
            </w:r>
            <w:r w:rsidR="00672E1B">
              <w:rPr>
                <w:rFonts w:cs="Times New Roman"/>
                <w:shd w:val="clear" w:color="auto" w:fill="FFFFFF"/>
              </w:rPr>
              <w:t>”</w:t>
            </w:r>
            <w:r w:rsidR="008660FA" w:rsidRPr="00D66349">
              <w:rPr>
                <w:rFonts w:cs="Times New Roman"/>
                <w:shd w:val="clear" w:color="auto" w:fill="FFFFFF"/>
              </w:rPr>
              <w:t xml:space="preserve"> lietošanas mērķ</w:t>
            </w:r>
            <w:r w:rsidR="009E0F6B">
              <w:rPr>
                <w:rFonts w:cs="Times New Roman"/>
                <w:shd w:val="clear" w:color="auto" w:fill="FFFFFF"/>
              </w:rPr>
              <w:t>us</w:t>
            </w:r>
            <w:r w:rsidR="006D180A">
              <w:rPr>
                <w:rFonts w:cs="Times New Roman"/>
                <w:shd w:val="clear" w:color="auto" w:fill="FFFFFF"/>
              </w:rPr>
              <w:t>, jo</w:t>
            </w:r>
            <w:r w:rsidR="00A70CE8">
              <w:rPr>
                <w:rFonts w:cs="Times New Roman"/>
                <w:shd w:val="clear" w:color="auto" w:fill="FFFFFF"/>
              </w:rPr>
              <w:t>,</w:t>
            </w:r>
            <w:r w:rsidR="007B58CB" w:rsidRPr="00D66349">
              <w:rPr>
                <w:rFonts w:cs="Times New Roman"/>
                <w:shd w:val="clear" w:color="auto" w:fill="FFFFFF"/>
              </w:rPr>
              <w:t xml:space="preserve"> </w:t>
            </w:r>
            <w:r w:rsidR="00420791">
              <w:rPr>
                <w:rFonts w:cs="Times New Roman"/>
                <w:shd w:val="clear" w:color="auto" w:fill="FFFFFF"/>
              </w:rPr>
              <w:t xml:space="preserve">ņemot vērā </w:t>
            </w:r>
            <w:r w:rsidR="004559BA" w:rsidRPr="00D66349">
              <w:rPr>
                <w:rFonts w:cs="Times New Roman"/>
                <w:shd w:val="clear" w:color="auto" w:fill="FFFFFF"/>
              </w:rPr>
              <w:t xml:space="preserve">faktisko situāciju, elektronisko sakaru komersanti numerāciju izmanto </w:t>
            </w:r>
            <w:r w:rsidR="00522052">
              <w:rPr>
                <w:rFonts w:cs="Times New Roman"/>
                <w:shd w:val="clear" w:color="auto" w:fill="FFFFFF"/>
              </w:rPr>
              <w:t xml:space="preserve">arī </w:t>
            </w:r>
            <w:r w:rsidR="00D66349" w:rsidRPr="00D66349">
              <w:rPr>
                <w:shd w:val="clear" w:color="auto" w:fill="FFFFFF"/>
              </w:rPr>
              <w:t>elektronisko sakaru pakalpojumu kvalitātes pārbaudei (testēšanai) un viesabonēšanas pakalpojuma nodrošināšanai vai maršrutēšanai</w:t>
            </w:r>
            <w:r w:rsidR="003C13A0">
              <w:rPr>
                <w:shd w:val="clear" w:color="auto" w:fill="FFFFFF"/>
              </w:rPr>
              <w:t>,</w:t>
            </w:r>
            <w:r w:rsidR="00D66349" w:rsidRPr="00D66349">
              <w:rPr>
                <w:shd w:val="clear" w:color="auto" w:fill="FFFFFF"/>
              </w:rPr>
              <w:t xml:space="preserve"> nodrošinot numura saglabāšanas pakalpojumu.</w:t>
            </w:r>
            <w:r w:rsidR="004E3DA2">
              <w:rPr>
                <w:shd w:val="clear" w:color="auto" w:fill="FFFFFF"/>
              </w:rPr>
              <w:t xml:space="preserve"> </w:t>
            </w:r>
          </w:p>
          <w:p w:rsidR="000F4A1E" w:rsidRDefault="00420791" w:rsidP="00522052">
            <w:pPr>
              <w:pStyle w:val="Standard"/>
              <w:snapToGrid w:val="0"/>
              <w:ind w:firstLine="388"/>
              <w:jc w:val="both"/>
            </w:pPr>
            <w:r>
              <w:rPr>
                <w:shd w:val="clear" w:color="auto" w:fill="FFFFFF"/>
              </w:rPr>
              <w:t>Numuru p</w:t>
            </w:r>
            <w:r w:rsidR="001D3622">
              <w:rPr>
                <w:shd w:val="clear" w:color="auto" w:fill="FFFFFF"/>
              </w:rPr>
              <w:t>iešķīrumi</w:t>
            </w:r>
            <w:r w:rsidR="005D23B4">
              <w:rPr>
                <w:shd w:val="clear" w:color="auto" w:fill="FFFFFF"/>
              </w:rPr>
              <w:t xml:space="preserve">, </w:t>
            </w:r>
            <w:r w:rsidR="000F4A1E">
              <w:rPr>
                <w:shd w:val="clear" w:color="auto" w:fill="FFFFFF"/>
              </w:rPr>
              <w:t>izmantošana</w:t>
            </w:r>
            <w:r w:rsidR="001D3622">
              <w:rPr>
                <w:shd w:val="clear" w:color="auto" w:fill="FFFFFF"/>
              </w:rPr>
              <w:t xml:space="preserve"> tiek </w:t>
            </w:r>
            <w:r w:rsidR="000F4A1E">
              <w:rPr>
                <w:shd w:val="clear" w:color="auto" w:fill="FFFFFF"/>
              </w:rPr>
              <w:t>fiksēt</w:t>
            </w:r>
            <w:r w:rsidR="001D3622">
              <w:rPr>
                <w:shd w:val="clear" w:color="auto" w:fill="FFFFFF"/>
              </w:rPr>
              <w:t>a</w:t>
            </w:r>
            <w:r w:rsidR="000F4A1E">
              <w:rPr>
                <w:shd w:val="clear" w:color="auto" w:fill="FFFFFF"/>
              </w:rPr>
              <w:t xml:space="preserve"> </w:t>
            </w:r>
            <w:r w:rsidR="003F0D07">
              <w:rPr>
                <w:shd w:val="clear" w:color="auto" w:fill="FFFFFF"/>
              </w:rPr>
              <w:t xml:space="preserve">un uzturēta </w:t>
            </w:r>
            <w:r w:rsidR="00A70CE8">
              <w:rPr>
                <w:shd w:val="clear" w:color="auto" w:fill="FFFFFF"/>
              </w:rPr>
              <w:t>valsts akciju sabiedrības</w:t>
            </w:r>
            <w:r w:rsidR="001D3622">
              <w:rPr>
                <w:shd w:val="clear" w:color="auto" w:fill="FFFFFF"/>
              </w:rPr>
              <w:t xml:space="preserve"> “Elektroniskie sakari” </w:t>
            </w:r>
            <w:r w:rsidR="000F4A1E">
              <w:rPr>
                <w:shd w:val="clear" w:color="auto" w:fill="FFFFFF"/>
              </w:rPr>
              <w:t>Numerācijas datu bāzē</w:t>
            </w:r>
            <w:r w:rsidR="001D3622">
              <w:rPr>
                <w:shd w:val="clear" w:color="auto" w:fill="FFFFFF"/>
              </w:rPr>
              <w:t>.</w:t>
            </w:r>
            <w:r w:rsidR="000F4A1E">
              <w:rPr>
                <w:shd w:val="clear" w:color="auto" w:fill="FFFFFF"/>
              </w:rPr>
              <w:t xml:space="preserve"> </w:t>
            </w:r>
          </w:p>
          <w:p w:rsidR="009C0AB6" w:rsidRPr="00B12BCF" w:rsidRDefault="009C0AB6" w:rsidP="00B05FFD">
            <w:pPr>
              <w:pStyle w:val="Standard"/>
              <w:snapToGrid w:val="0"/>
              <w:ind w:right="140" w:firstLine="388"/>
              <w:jc w:val="both"/>
              <w:rPr>
                <w:rFonts w:cs="Times New Roman"/>
                <w:bCs/>
              </w:rPr>
            </w:pPr>
          </w:p>
        </w:tc>
      </w:tr>
      <w:tr w:rsidR="00A618C5" w:rsidRPr="00FA75B1" w:rsidTr="00970C09">
        <w:trPr>
          <w:trHeight w:val="465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FA3933" w:rsidRDefault="00A618C5" w:rsidP="00970C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FA393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lastRenderedPageBreak/>
              <w:t>3.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510A4D" w:rsidRDefault="00A618C5" w:rsidP="00970C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510A4D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Projekta izstrādē iesaistītās institūcijas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622369" w:rsidRDefault="00510A4D" w:rsidP="00970C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10A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2369">
              <w:rPr>
                <w:rFonts w:ascii="Times New Roman" w:hAnsi="Times New Roman"/>
                <w:sz w:val="24"/>
                <w:szCs w:val="24"/>
              </w:rPr>
              <w:t xml:space="preserve">Vides aizsardzības un reģionālās attīstības ministrijas Numerācijas resursu izmantošanas koordinācijas darba grupa (Regulators, </w:t>
            </w:r>
            <w:r w:rsidR="00622369" w:rsidRPr="0062236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valsts akciju sabiedrība</w:t>
            </w:r>
            <w:r w:rsidRPr="0062236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“Elektroniskie sakari”, Satiksmes ministrija, elektronisko sak</w:t>
            </w:r>
            <w:r w:rsidR="008D432B" w:rsidRPr="0062236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a</w:t>
            </w:r>
            <w:r w:rsidRPr="0062236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ru komersanti, kuri tiek pārstāvēti </w:t>
            </w:r>
            <w:r w:rsidR="008D432B" w:rsidRPr="0062236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nevalstiskajās organizācijās</w:t>
            </w:r>
            <w:r w:rsidR="0062236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:</w:t>
            </w:r>
            <w:r w:rsidR="008D432B" w:rsidRPr="0062236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622369" w:rsidRPr="00622369">
              <w:rPr>
                <w:rFonts w:ascii="Times New Roman" w:hAnsi="Times New Roman"/>
                <w:color w:val="000000"/>
                <w:sz w:val="24"/>
                <w:szCs w:val="24"/>
              </w:rPr>
              <w:t>Latvijas Informācij​as un komunikācijas tehnoloģijas asociācija</w:t>
            </w:r>
            <w:r w:rsidR="00622369" w:rsidRPr="0062236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62236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62236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LIKTA un </w:t>
            </w:r>
            <w:r w:rsidR="00622369" w:rsidRPr="0062236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Latvijas Telekomunikāciju asociācija</w:t>
            </w:r>
            <w:r w:rsidR="0062236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- </w:t>
            </w:r>
            <w:r w:rsidRPr="0062236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LTA)</w:t>
            </w:r>
            <w:r w:rsidR="007B58FE" w:rsidRPr="0062236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510A4D" w:rsidRPr="00510A4D" w:rsidRDefault="00510A4D" w:rsidP="00970C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8C5" w:rsidRPr="00FA75B1" w:rsidTr="00970C09"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FA3933" w:rsidRDefault="00A618C5" w:rsidP="00970C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FA393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FA3933" w:rsidRDefault="00A618C5" w:rsidP="00970C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FA393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FA3933" w:rsidRDefault="00A618C5" w:rsidP="00970C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Nav</w:t>
            </w:r>
          </w:p>
        </w:tc>
      </w:tr>
    </w:tbl>
    <w:p w:rsidR="00AF5950" w:rsidRDefault="00AF5950" w:rsidP="00A618C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</w:p>
    <w:p w:rsidR="00AF5950" w:rsidRDefault="00AF5950" w:rsidP="00A618C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</w:p>
    <w:tbl>
      <w:tblPr>
        <w:tblW w:w="5000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95"/>
        <w:gridCol w:w="3097"/>
        <w:gridCol w:w="5539"/>
      </w:tblGrid>
      <w:tr w:rsidR="00E32052" w:rsidRPr="00E030F4" w:rsidTr="00C55AE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outset" w:sz="6" w:space="0" w:color="000000"/>
              <w:right w:val="single" w:sz="4" w:space="0" w:color="auto"/>
            </w:tcBorders>
          </w:tcPr>
          <w:p w:rsidR="00E32052" w:rsidRPr="00C95ADC" w:rsidRDefault="00E32052" w:rsidP="00C55AE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5ADC">
              <w:rPr>
                <w:rFonts w:ascii="Times New Roman" w:hAnsi="Times New Roman"/>
                <w:b/>
                <w:bCs/>
                <w:sz w:val="24"/>
                <w:szCs w:val="24"/>
              </w:rPr>
              <w:t>II. Tiesību akta projekta ietekme uz sabiedrību, tautsaimniecības attīstību un administratīvo slogu</w:t>
            </w:r>
          </w:p>
        </w:tc>
      </w:tr>
      <w:tr w:rsidR="00E32052" w:rsidRPr="00E030F4" w:rsidTr="00C55AEB">
        <w:tc>
          <w:tcPr>
            <w:tcW w:w="2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2052" w:rsidRPr="00C95ADC" w:rsidRDefault="00E32052" w:rsidP="00C55AE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95AD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2052" w:rsidRPr="00C95ADC" w:rsidRDefault="00E32052" w:rsidP="00C55AE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95ADC">
              <w:rPr>
                <w:rFonts w:ascii="Times New Roman" w:hAnsi="Times New Roman"/>
                <w:sz w:val="24"/>
                <w:szCs w:val="24"/>
              </w:rPr>
              <w:t>Sabiedrības mērķgrupas, kuras tiesiskais regulējums arī ietekmē vai varētu ietekmēt</w:t>
            </w:r>
          </w:p>
        </w:tc>
        <w:tc>
          <w:tcPr>
            <w:tcW w:w="30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B4A2F" w:rsidRPr="007E0330" w:rsidRDefault="007B58FE" w:rsidP="006223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E</w:t>
            </w:r>
            <w:r w:rsidRPr="00BB6563">
              <w:rPr>
                <w:rFonts w:ascii="Times New Roman" w:eastAsia="Times New Roman" w:hAnsi="Times New Roman"/>
                <w:sz w:val="24"/>
                <w:szCs w:val="24"/>
              </w:rPr>
              <w:t>lektronisko sakaru komersanti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BB6563">
              <w:rPr>
                <w:rFonts w:ascii="Times New Roman" w:eastAsia="Times New Roman" w:hAnsi="Times New Roman"/>
                <w:sz w:val="24"/>
                <w:szCs w:val="24"/>
              </w:rPr>
              <w:t xml:space="preserve"> kuri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em</w:t>
            </w:r>
            <w:r w:rsidRPr="00BB656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622369">
              <w:rPr>
                <w:rFonts w:ascii="Times New Roman" w:hAnsi="Times New Roman"/>
                <w:bCs/>
                <w:sz w:val="24"/>
                <w:szCs w:val="24"/>
              </w:rPr>
              <w:t>Regulators</w:t>
            </w:r>
            <w:r w:rsidRPr="00BB656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B6563">
              <w:rPr>
                <w:rFonts w:ascii="Times New Roman" w:eastAsia="Times New Roman" w:hAnsi="Times New Roman"/>
                <w:sz w:val="24"/>
                <w:szCs w:val="24"/>
              </w:rPr>
              <w:t>piešķ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īr</w:t>
            </w:r>
            <w:r w:rsidR="00622369"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 w:rsidRPr="00BB6563">
              <w:rPr>
                <w:rFonts w:ascii="Times New Roman" w:eastAsia="Times New Roman" w:hAnsi="Times New Roman"/>
                <w:sz w:val="24"/>
                <w:szCs w:val="24"/>
              </w:rPr>
              <w:t xml:space="preserve"> numerācijas lietošanas tiesības</w:t>
            </w:r>
            <w:r w:rsidRPr="00BB6563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</w:tr>
      <w:tr w:rsidR="00E32052" w:rsidRPr="00E030F4" w:rsidTr="00C55AEB">
        <w:tc>
          <w:tcPr>
            <w:tcW w:w="2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2052" w:rsidRPr="00C95ADC" w:rsidRDefault="00E32052" w:rsidP="00C55AE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95ADC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2052" w:rsidRPr="00C95ADC" w:rsidRDefault="00E32052" w:rsidP="00C55AE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95ADC">
              <w:rPr>
                <w:rFonts w:ascii="Times New Roman" w:hAnsi="Times New Roman"/>
                <w:sz w:val="24"/>
                <w:szCs w:val="24"/>
              </w:rPr>
              <w:t>Tiesiskā regulējuma ietekme uz tautsaimniecību un administratīvo slogu</w:t>
            </w:r>
          </w:p>
        </w:tc>
        <w:tc>
          <w:tcPr>
            <w:tcW w:w="30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2052" w:rsidRPr="00C95ADC" w:rsidRDefault="00E32052" w:rsidP="002D03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ADC">
              <w:rPr>
                <w:rFonts w:ascii="Times New Roman" w:hAnsi="Times New Roman"/>
                <w:sz w:val="24"/>
                <w:szCs w:val="24"/>
              </w:rPr>
              <w:t xml:space="preserve">Projekts nerada papildus ietekmi uz </w:t>
            </w:r>
            <w:r w:rsidR="00AE2379">
              <w:rPr>
                <w:rFonts w:ascii="Times New Roman" w:hAnsi="Times New Roman"/>
                <w:sz w:val="24"/>
                <w:szCs w:val="24"/>
              </w:rPr>
              <w:t xml:space="preserve">tautsaimniecību un </w:t>
            </w:r>
            <w:r w:rsidRPr="00C95ADC">
              <w:rPr>
                <w:rFonts w:ascii="Times New Roman" w:hAnsi="Times New Roman"/>
                <w:sz w:val="24"/>
                <w:szCs w:val="24"/>
              </w:rPr>
              <w:t xml:space="preserve">administratīvo slogu. </w:t>
            </w:r>
          </w:p>
          <w:p w:rsidR="00E32052" w:rsidRPr="00C95ADC" w:rsidRDefault="00E32052" w:rsidP="00C55A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2052" w:rsidRPr="00E030F4" w:rsidTr="00C55AEB">
        <w:trPr>
          <w:trHeight w:val="536"/>
        </w:trPr>
        <w:tc>
          <w:tcPr>
            <w:tcW w:w="2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2052" w:rsidRPr="00C95ADC" w:rsidRDefault="00E32052" w:rsidP="00C55AE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95AD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2052" w:rsidRPr="00C95ADC" w:rsidRDefault="00E32052" w:rsidP="00C55AE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95ADC">
              <w:rPr>
                <w:rFonts w:ascii="Times New Roman" w:hAnsi="Times New Roman"/>
                <w:sz w:val="24"/>
                <w:szCs w:val="24"/>
              </w:rPr>
              <w:t>Administratīvo izmaksu monetārs novērtējums</w:t>
            </w:r>
          </w:p>
        </w:tc>
        <w:tc>
          <w:tcPr>
            <w:tcW w:w="30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2052" w:rsidRPr="00C95ADC" w:rsidRDefault="00E32052" w:rsidP="00C55AE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95ADC">
              <w:rPr>
                <w:rFonts w:ascii="Times New Roman" w:hAnsi="Times New Roman"/>
                <w:sz w:val="24"/>
                <w:szCs w:val="24"/>
              </w:rPr>
              <w:t>Projekts šo jomu neskar.</w:t>
            </w:r>
          </w:p>
        </w:tc>
      </w:tr>
      <w:tr w:rsidR="00E32052" w:rsidRPr="00E030F4" w:rsidTr="00C55AEB">
        <w:tc>
          <w:tcPr>
            <w:tcW w:w="2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2052" w:rsidRPr="00C95ADC" w:rsidRDefault="00E32052" w:rsidP="00C55AE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95AD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2052" w:rsidRPr="00C95ADC" w:rsidRDefault="00E32052" w:rsidP="00C55AE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95ADC">
              <w:rPr>
                <w:rFonts w:ascii="Times New Roman" w:hAnsi="Times New Roman"/>
                <w:sz w:val="24"/>
                <w:szCs w:val="24"/>
              </w:rPr>
              <w:t>Cita informācija</w:t>
            </w:r>
          </w:p>
        </w:tc>
        <w:tc>
          <w:tcPr>
            <w:tcW w:w="30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2052" w:rsidRPr="00C95ADC" w:rsidRDefault="00E32052" w:rsidP="00C55AEB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ADC">
              <w:rPr>
                <w:rFonts w:ascii="Times New Roman" w:hAnsi="Times New Roman"/>
                <w:sz w:val="24"/>
                <w:szCs w:val="24"/>
              </w:rPr>
              <w:t>Nav</w:t>
            </w:r>
          </w:p>
        </w:tc>
      </w:tr>
    </w:tbl>
    <w:p w:rsidR="00E32052" w:rsidRDefault="00E32052" w:rsidP="00A618C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</w:p>
    <w:tbl>
      <w:tblPr>
        <w:tblW w:w="5000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95"/>
        <w:gridCol w:w="3097"/>
        <w:gridCol w:w="5539"/>
      </w:tblGrid>
      <w:tr w:rsidR="00F82184" w:rsidRPr="00F82184" w:rsidTr="002D6A7E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outset" w:sz="6" w:space="0" w:color="000000"/>
              <w:right w:val="single" w:sz="4" w:space="0" w:color="auto"/>
            </w:tcBorders>
          </w:tcPr>
          <w:p w:rsidR="00F82184" w:rsidRPr="00F82184" w:rsidRDefault="00F82184" w:rsidP="00F82184">
            <w:pPr>
              <w:spacing w:after="0" w:line="240" w:lineRule="auto"/>
              <w:ind w:firstLine="30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18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>IV. Tiesību akta projekta ietekme uz spēkā esošo tiesību normu sistēmu</w:t>
            </w:r>
          </w:p>
        </w:tc>
      </w:tr>
      <w:tr w:rsidR="00F82184" w:rsidRPr="00F82184" w:rsidTr="002D6A7E">
        <w:tc>
          <w:tcPr>
            <w:tcW w:w="2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82184" w:rsidRPr="00F82184" w:rsidRDefault="00F82184" w:rsidP="002D6A7E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8218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82184" w:rsidRPr="00F82184" w:rsidRDefault="00F82184" w:rsidP="002D6A7E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82184">
              <w:rPr>
                <w:rFonts w:ascii="Times New Roman" w:hAnsi="Times New Roman"/>
                <w:sz w:val="24"/>
                <w:szCs w:val="24"/>
              </w:rPr>
              <w:t>Nepieciešamie saistītie tiesību aktu projekti</w:t>
            </w:r>
          </w:p>
        </w:tc>
        <w:tc>
          <w:tcPr>
            <w:tcW w:w="30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95CFF" w:rsidRPr="00D73C06" w:rsidRDefault="00853650" w:rsidP="002D036E">
            <w:pPr>
              <w:pStyle w:val="tv2131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Grozījumi </w:t>
            </w:r>
            <w:r w:rsidR="002D036E" w:rsidRPr="00D73C06">
              <w:rPr>
                <w:color w:val="auto"/>
                <w:sz w:val="24"/>
                <w:szCs w:val="24"/>
              </w:rPr>
              <w:t>Ministru kabineta 2014.</w:t>
            </w:r>
            <w:r w:rsidR="00272B83">
              <w:rPr>
                <w:color w:val="auto"/>
                <w:sz w:val="24"/>
                <w:szCs w:val="24"/>
              </w:rPr>
              <w:t xml:space="preserve"> </w:t>
            </w:r>
            <w:r w:rsidR="002D036E" w:rsidRPr="00D73C06">
              <w:rPr>
                <w:color w:val="auto"/>
                <w:sz w:val="24"/>
                <w:szCs w:val="24"/>
              </w:rPr>
              <w:t>gada 21.</w:t>
            </w:r>
            <w:r w:rsidR="00272B83">
              <w:rPr>
                <w:color w:val="auto"/>
                <w:sz w:val="24"/>
                <w:szCs w:val="24"/>
              </w:rPr>
              <w:t xml:space="preserve"> </w:t>
            </w:r>
            <w:r w:rsidR="002D036E" w:rsidRPr="00D73C06">
              <w:rPr>
                <w:color w:val="auto"/>
                <w:sz w:val="24"/>
                <w:szCs w:val="24"/>
              </w:rPr>
              <w:t>janvāra noteikumi Nr.45 “Numerācijas pārvaldīšanas kārtība, izveidojot un uzturot numerācijas datubāzi”</w:t>
            </w:r>
            <w:r w:rsidR="00195CFF" w:rsidRPr="00D73C06">
              <w:rPr>
                <w:color w:val="auto"/>
                <w:sz w:val="24"/>
                <w:szCs w:val="24"/>
              </w:rPr>
              <w:t xml:space="preserve">, kas </w:t>
            </w:r>
            <w:r w:rsidR="002D036E" w:rsidRPr="00D73C06">
              <w:rPr>
                <w:color w:val="auto"/>
                <w:sz w:val="24"/>
                <w:szCs w:val="24"/>
              </w:rPr>
              <w:t xml:space="preserve">nosaka </w:t>
            </w:r>
            <w:r w:rsidR="00195CFF" w:rsidRPr="00D73C06">
              <w:rPr>
                <w:color w:val="auto"/>
                <w:sz w:val="24"/>
                <w:szCs w:val="24"/>
              </w:rPr>
              <w:t>numerācijas izmantošanas uzskaites un administrēšanas kārtību.</w:t>
            </w:r>
          </w:p>
          <w:p w:rsidR="00D73C06" w:rsidRPr="00D73C06" w:rsidRDefault="00D73C06" w:rsidP="002D036E">
            <w:pPr>
              <w:pStyle w:val="tv2131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</w:p>
          <w:p w:rsidR="00F82184" w:rsidRPr="00F82184" w:rsidRDefault="00FF71A5" w:rsidP="00344BEA">
            <w:pPr>
              <w:pStyle w:val="tv213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Grozījumi </w:t>
            </w:r>
            <w:r w:rsidR="00853650">
              <w:rPr>
                <w:color w:val="auto"/>
                <w:sz w:val="24"/>
                <w:szCs w:val="24"/>
              </w:rPr>
              <w:t xml:space="preserve">Nacionālajā numerācijas plānā jeb noteikumu projekts </w:t>
            </w:r>
            <w:r w:rsidR="00D73C06" w:rsidRPr="00D73C06">
              <w:rPr>
                <w:color w:val="auto"/>
                <w:sz w:val="24"/>
                <w:szCs w:val="24"/>
              </w:rPr>
              <w:t>tiek virzīt</w:t>
            </w:r>
            <w:r w:rsidR="00853650">
              <w:rPr>
                <w:color w:val="auto"/>
                <w:sz w:val="24"/>
                <w:szCs w:val="24"/>
              </w:rPr>
              <w:t>s</w:t>
            </w:r>
            <w:r w:rsidR="00D73C06" w:rsidRPr="00D73C06">
              <w:rPr>
                <w:color w:val="auto"/>
                <w:sz w:val="24"/>
                <w:szCs w:val="24"/>
              </w:rPr>
              <w:t xml:space="preserve"> vienlaikus ar</w:t>
            </w:r>
            <w:r w:rsidR="00853650">
              <w:rPr>
                <w:color w:val="auto"/>
                <w:sz w:val="24"/>
                <w:szCs w:val="24"/>
              </w:rPr>
              <w:t xml:space="preserve"> </w:t>
            </w:r>
            <w:r w:rsidR="00344BEA">
              <w:rPr>
                <w:color w:val="auto"/>
                <w:sz w:val="24"/>
                <w:szCs w:val="24"/>
              </w:rPr>
              <w:t>g</w:t>
            </w:r>
            <w:r w:rsidR="00853650">
              <w:rPr>
                <w:color w:val="auto"/>
                <w:sz w:val="24"/>
                <w:szCs w:val="24"/>
              </w:rPr>
              <w:t>rozījumi</w:t>
            </w:r>
            <w:r w:rsidR="00344BEA">
              <w:rPr>
                <w:color w:val="auto"/>
                <w:sz w:val="24"/>
                <w:szCs w:val="24"/>
              </w:rPr>
              <w:t>em</w:t>
            </w:r>
            <w:r w:rsidR="00853650">
              <w:rPr>
                <w:color w:val="auto"/>
                <w:sz w:val="24"/>
                <w:szCs w:val="24"/>
              </w:rPr>
              <w:t xml:space="preserve"> </w:t>
            </w:r>
            <w:r w:rsidR="00853650" w:rsidRPr="00D73C06">
              <w:rPr>
                <w:color w:val="auto"/>
                <w:sz w:val="24"/>
                <w:szCs w:val="24"/>
              </w:rPr>
              <w:t>Ministru kabineta 2014.</w:t>
            </w:r>
            <w:r w:rsidR="00853650">
              <w:rPr>
                <w:color w:val="auto"/>
                <w:sz w:val="24"/>
                <w:szCs w:val="24"/>
              </w:rPr>
              <w:t xml:space="preserve"> </w:t>
            </w:r>
            <w:r w:rsidR="00853650" w:rsidRPr="00D73C06">
              <w:rPr>
                <w:color w:val="auto"/>
                <w:sz w:val="24"/>
                <w:szCs w:val="24"/>
              </w:rPr>
              <w:t>gada 21.</w:t>
            </w:r>
            <w:r w:rsidR="00853650">
              <w:rPr>
                <w:color w:val="auto"/>
                <w:sz w:val="24"/>
                <w:szCs w:val="24"/>
              </w:rPr>
              <w:t xml:space="preserve"> </w:t>
            </w:r>
            <w:r w:rsidR="00853650" w:rsidRPr="00D73C06">
              <w:rPr>
                <w:color w:val="auto"/>
                <w:sz w:val="24"/>
                <w:szCs w:val="24"/>
              </w:rPr>
              <w:t>janvāra noteikum</w:t>
            </w:r>
            <w:r w:rsidR="00344BEA">
              <w:rPr>
                <w:color w:val="auto"/>
                <w:sz w:val="24"/>
                <w:szCs w:val="24"/>
              </w:rPr>
              <w:t>os</w:t>
            </w:r>
            <w:r w:rsidR="00853650" w:rsidRPr="00D73C06">
              <w:rPr>
                <w:color w:val="auto"/>
                <w:sz w:val="24"/>
                <w:szCs w:val="24"/>
              </w:rPr>
              <w:t xml:space="preserve"> Nr.45 “Numerācijas pārvaldīšanas kārtība, izveidojot un uzturot numerācijas datubāzi</w:t>
            </w:r>
            <w:r w:rsidR="00853650">
              <w:rPr>
                <w:color w:val="auto"/>
                <w:sz w:val="24"/>
                <w:szCs w:val="24"/>
              </w:rPr>
              <w:t>”</w:t>
            </w:r>
            <w:r w:rsidR="00853650" w:rsidRPr="00D73C06">
              <w:rPr>
                <w:color w:val="auto"/>
                <w:sz w:val="24"/>
                <w:szCs w:val="24"/>
              </w:rPr>
              <w:t>.</w:t>
            </w:r>
          </w:p>
        </w:tc>
      </w:tr>
      <w:tr w:rsidR="00F82184" w:rsidRPr="007C4AA8" w:rsidTr="002D6A7E">
        <w:tc>
          <w:tcPr>
            <w:tcW w:w="2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82184" w:rsidRPr="007C4AA8" w:rsidRDefault="00F82184" w:rsidP="002D6A7E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7C4AA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82184" w:rsidRPr="00BE6A20" w:rsidRDefault="00F82184" w:rsidP="002D6A7E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BE6A20">
              <w:rPr>
                <w:rFonts w:ascii="Times New Roman" w:hAnsi="Times New Roman"/>
                <w:sz w:val="24"/>
                <w:szCs w:val="24"/>
              </w:rPr>
              <w:t>Atbildīgā institūcija</w:t>
            </w:r>
          </w:p>
        </w:tc>
        <w:tc>
          <w:tcPr>
            <w:tcW w:w="30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82184" w:rsidRPr="007C4AA8" w:rsidRDefault="007C4AA8" w:rsidP="00F821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4AA8">
              <w:rPr>
                <w:rFonts w:ascii="Times New Roman" w:hAnsi="Times New Roman"/>
                <w:sz w:val="24"/>
                <w:szCs w:val="24"/>
              </w:rPr>
              <w:t>Vides aizsardzības un reģionālās attīstības ministrija.</w:t>
            </w:r>
          </w:p>
        </w:tc>
      </w:tr>
      <w:tr w:rsidR="00F82184" w:rsidRPr="00F82184" w:rsidTr="002D6A7E">
        <w:trPr>
          <w:trHeight w:val="536"/>
        </w:trPr>
        <w:tc>
          <w:tcPr>
            <w:tcW w:w="2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82184" w:rsidRPr="00F82184" w:rsidRDefault="00F82184" w:rsidP="002D6A7E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8218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82184" w:rsidRPr="00BE6A20" w:rsidRDefault="00F82184" w:rsidP="002D6A7E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BE6A20">
              <w:rPr>
                <w:rFonts w:ascii="Times New Roman" w:hAnsi="Times New Roman"/>
                <w:sz w:val="24"/>
                <w:szCs w:val="24"/>
              </w:rPr>
              <w:t>Cita informācija</w:t>
            </w:r>
          </w:p>
        </w:tc>
        <w:tc>
          <w:tcPr>
            <w:tcW w:w="30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2845" w:rsidRPr="00B96014" w:rsidRDefault="005D2845" w:rsidP="0085365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014">
              <w:rPr>
                <w:rFonts w:ascii="Times New Roman" w:hAnsi="Times New Roman"/>
                <w:sz w:val="24"/>
                <w:szCs w:val="24"/>
              </w:rPr>
              <w:t xml:space="preserve">Nepieciešams papildināt </w:t>
            </w:r>
            <w:r w:rsidR="00D73C0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valsts </w:t>
            </w:r>
            <w:r w:rsidR="00272B8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ak</w:t>
            </w:r>
            <w:r w:rsidR="00D73C0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ciju sabiedrības</w:t>
            </w:r>
            <w:r w:rsidR="00D73C06" w:rsidRPr="00B9601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BE6A20" w:rsidRPr="00B9601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“Elektroniskie sakari” uzturēto Numerācijas </w:t>
            </w:r>
            <w:r w:rsidRPr="00B96014">
              <w:rPr>
                <w:rFonts w:ascii="Times New Roman" w:hAnsi="Times New Roman"/>
                <w:sz w:val="24"/>
                <w:szCs w:val="24"/>
              </w:rPr>
              <w:t>datu bāzi ar n</w:t>
            </w:r>
            <w:r w:rsidR="00BE6A20" w:rsidRPr="00B96014">
              <w:rPr>
                <w:rFonts w:ascii="Times New Roman" w:hAnsi="Times New Roman"/>
                <w:sz w:val="24"/>
                <w:szCs w:val="24"/>
              </w:rPr>
              <w:t>umerācijas uzskaite</w:t>
            </w:r>
            <w:r w:rsidR="00853650">
              <w:rPr>
                <w:rFonts w:ascii="Times New Roman" w:hAnsi="Times New Roman"/>
                <w:sz w:val="24"/>
                <w:szCs w:val="24"/>
              </w:rPr>
              <w:t>i nepieciešamiem</w:t>
            </w:r>
            <w:r w:rsidR="00BE6A20" w:rsidRPr="00B96014">
              <w:rPr>
                <w:rFonts w:ascii="Times New Roman" w:hAnsi="Times New Roman"/>
                <w:sz w:val="24"/>
                <w:szCs w:val="24"/>
              </w:rPr>
              <w:t xml:space="preserve"> datu lauk</w:t>
            </w:r>
            <w:r w:rsidR="00853650">
              <w:rPr>
                <w:rFonts w:ascii="Times New Roman" w:hAnsi="Times New Roman"/>
                <w:sz w:val="24"/>
                <w:szCs w:val="24"/>
              </w:rPr>
              <w:t>iem</w:t>
            </w:r>
            <w:r w:rsidR="00BE6A20" w:rsidRPr="00B960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F82184" w:rsidRPr="00F82184" w:rsidRDefault="00F82184" w:rsidP="00A618C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</w:p>
    <w:p w:rsidR="00F82184" w:rsidRDefault="00F82184" w:rsidP="00A618C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</w:p>
    <w:p w:rsidR="00E32052" w:rsidRDefault="00E32052" w:rsidP="00A618C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</w:p>
    <w:tbl>
      <w:tblPr>
        <w:tblW w:w="4984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"/>
        <w:gridCol w:w="2649"/>
        <w:gridCol w:w="6013"/>
      </w:tblGrid>
      <w:tr w:rsidR="00A618C5" w:rsidRPr="00FA75B1" w:rsidTr="00E579CE">
        <w:trPr>
          <w:trHeight w:val="420"/>
        </w:trPr>
        <w:tc>
          <w:tcPr>
            <w:tcW w:w="5000" w:type="pct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A618C5" w:rsidRPr="00FA3933" w:rsidRDefault="00A618C5" w:rsidP="00970C09">
            <w:pPr>
              <w:spacing w:after="0" w:line="240" w:lineRule="auto"/>
              <w:ind w:firstLine="30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FA393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>VI. Sabiedrības līdzdalība un komunikācijas aktivitātes</w:t>
            </w:r>
          </w:p>
        </w:tc>
      </w:tr>
      <w:tr w:rsidR="00A618C5" w:rsidRPr="00FA75B1" w:rsidTr="00E579CE">
        <w:trPr>
          <w:trHeight w:val="540"/>
        </w:trPr>
        <w:tc>
          <w:tcPr>
            <w:tcW w:w="24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FA3933" w:rsidRDefault="00A618C5" w:rsidP="00970C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FA393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4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204C81" w:rsidRDefault="00A618C5" w:rsidP="00715454">
            <w:pPr>
              <w:spacing w:after="0" w:line="240" w:lineRule="auto"/>
              <w:ind w:right="2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204C81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Plānotās sabiedrības līdzdalības un komunikācijas aktivitātes saistībā ar projektu</w:t>
            </w:r>
          </w:p>
        </w:tc>
        <w:tc>
          <w:tcPr>
            <w:tcW w:w="33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CF6597" w:rsidRPr="00204C81" w:rsidRDefault="00CF6597" w:rsidP="007154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4C81">
              <w:rPr>
                <w:rFonts w:ascii="Times New Roman" w:hAnsi="Times New Roman"/>
                <w:iCs/>
                <w:sz w:val="24"/>
                <w:szCs w:val="24"/>
              </w:rPr>
              <w:t>Saskaņā ar Ministru kabineta 2009.</w:t>
            </w:r>
            <w:r w:rsidR="00272B83" w:rsidRPr="00204C81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04C81">
              <w:rPr>
                <w:rFonts w:ascii="Times New Roman" w:hAnsi="Times New Roman"/>
                <w:iCs/>
                <w:sz w:val="24"/>
                <w:szCs w:val="24"/>
              </w:rPr>
              <w:t>gada 25.</w:t>
            </w:r>
            <w:r w:rsidR="00272B83" w:rsidRPr="00204C81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04C81">
              <w:rPr>
                <w:rFonts w:ascii="Times New Roman" w:hAnsi="Times New Roman"/>
                <w:iCs/>
                <w:sz w:val="24"/>
                <w:szCs w:val="24"/>
              </w:rPr>
              <w:t>augusta noteikumu Nr.</w:t>
            </w:r>
            <w:r w:rsidR="00272B83" w:rsidRPr="00204C81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04C81">
              <w:rPr>
                <w:rFonts w:ascii="Times New Roman" w:hAnsi="Times New Roman"/>
                <w:iCs/>
                <w:sz w:val="24"/>
                <w:szCs w:val="24"/>
              </w:rPr>
              <w:t>970 „Sabiedrības līdzdalības kārtība attīstības plānošanas procesā” 7.4.1.</w:t>
            </w:r>
            <w:r w:rsidR="00272B83" w:rsidRPr="00204C81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04C81">
              <w:rPr>
                <w:rFonts w:ascii="Times New Roman" w:hAnsi="Times New Roman"/>
                <w:iCs/>
                <w:sz w:val="24"/>
                <w:szCs w:val="24"/>
              </w:rPr>
              <w:t>apakšpunktu sabiedrības pārstāvji ir aicināti līdzdarboties, r</w:t>
            </w:r>
            <w:r w:rsidR="00653D99" w:rsidRPr="00204C81">
              <w:rPr>
                <w:rFonts w:ascii="Times New Roman" w:hAnsi="Times New Roman"/>
                <w:iCs/>
                <w:sz w:val="24"/>
                <w:szCs w:val="24"/>
              </w:rPr>
              <w:t>akstiski sniedzot viedokli par n</w:t>
            </w:r>
            <w:r w:rsidRPr="00204C81">
              <w:rPr>
                <w:rFonts w:ascii="Times New Roman" w:hAnsi="Times New Roman"/>
                <w:iCs/>
                <w:sz w:val="24"/>
                <w:szCs w:val="24"/>
              </w:rPr>
              <w:t xml:space="preserve">oteikumu projektu tā izstrādes stadijā. Sabiedrības pārstāvji ir informēti par iespēju līdzdarboties, publicējot paziņojumu par līdzdalības procesu </w:t>
            </w:r>
            <w:r w:rsidR="00204C81" w:rsidRPr="00204C81">
              <w:rPr>
                <w:rFonts w:ascii="Times New Roman" w:hAnsi="Times New Roman"/>
                <w:iCs/>
                <w:sz w:val="24"/>
                <w:szCs w:val="24"/>
              </w:rPr>
              <w:t xml:space="preserve">Vides aizsardzības un reģionālās attīstības ministrijas </w:t>
            </w:r>
            <w:r w:rsidRPr="00204C81">
              <w:rPr>
                <w:rFonts w:ascii="Times New Roman" w:hAnsi="Times New Roman"/>
                <w:iCs/>
                <w:sz w:val="24"/>
                <w:szCs w:val="24"/>
              </w:rPr>
              <w:t>tīmekļa vietnē.</w:t>
            </w:r>
          </w:p>
          <w:p w:rsidR="00A618C5" w:rsidRPr="00204C81" w:rsidRDefault="00A618C5" w:rsidP="007154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A618C5" w:rsidRPr="00FA75B1" w:rsidTr="00E579CE">
        <w:trPr>
          <w:trHeight w:val="330"/>
        </w:trPr>
        <w:tc>
          <w:tcPr>
            <w:tcW w:w="24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FA3933" w:rsidRDefault="00A618C5" w:rsidP="00970C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FA393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4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204C81" w:rsidRDefault="00A618C5" w:rsidP="00970C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204C81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Sabiedrības līdzdalība projekta izstrādē</w:t>
            </w:r>
          </w:p>
        </w:tc>
        <w:tc>
          <w:tcPr>
            <w:tcW w:w="33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204C81" w:rsidRDefault="00496423" w:rsidP="008900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204C81">
              <w:rPr>
                <w:rFonts w:ascii="Times New Roman" w:hAnsi="Times New Roman"/>
                <w:sz w:val="24"/>
                <w:szCs w:val="24"/>
                <w:lang w:eastAsia="lv-LV"/>
              </w:rPr>
              <w:t>Noteikumu projekts</w:t>
            </w:r>
            <w:r w:rsidRPr="00204C81">
              <w:rPr>
                <w:rFonts w:ascii="Times New Roman" w:hAnsi="Times New Roman"/>
                <w:bCs/>
                <w:sz w:val="24"/>
                <w:szCs w:val="24"/>
                <w:lang w:eastAsia="lv-LV"/>
              </w:rPr>
              <w:t xml:space="preserve"> </w:t>
            </w:r>
            <w:r w:rsidRPr="00204C81">
              <w:rPr>
                <w:rFonts w:ascii="Times New Roman" w:hAnsi="Times New Roman"/>
                <w:sz w:val="24"/>
                <w:szCs w:val="24"/>
                <w:lang w:eastAsia="lv-LV"/>
              </w:rPr>
              <w:t>201</w:t>
            </w:r>
            <w:r w:rsidR="00356E4A" w:rsidRPr="00204C81">
              <w:rPr>
                <w:rFonts w:ascii="Times New Roman" w:hAnsi="Times New Roman"/>
                <w:sz w:val="24"/>
                <w:szCs w:val="24"/>
                <w:lang w:eastAsia="lv-LV"/>
              </w:rPr>
              <w:t>7</w:t>
            </w:r>
            <w:r w:rsidRPr="00204C81">
              <w:rPr>
                <w:rFonts w:ascii="Times New Roman" w:hAnsi="Times New Roman"/>
                <w:sz w:val="24"/>
                <w:szCs w:val="24"/>
                <w:lang w:eastAsia="lv-LV"/>
              </w:rPr>
              <w:t>.</w:t>
            </w:r>
            <w:r w:rsidR="00204C81" w:rsidRPr="00204C81">
              <w:rPr>
                <w:rFonts w:ascii="Times New Roman" w:hAnsi="Times New Roman"/>
                <w:sz w:val="24"/>
                <w:szCs w:val="24"/>
                <w:lang w:eastAsia="lv-LV"/>
              </w:rPr>
              <w:t xml:space="preserve"> </w:t>
            </w:r>
            <w:r w:rsidRPr="008900A5">
              <w:rPr>
                <w:rFonts w:ascii="Times New Roman" w:hAnsi="Times New Roman"/>
                <w:sz w:val="24"/>
                <w:szCs w:val="24"/>
                <w:lang w:eastAsia="lv-LV"/>
              </w:rPr>
              <w:t xml:space="preserve">gada </w:t>
            </w:r>
            <w:r w:rsidR="008900A5" w:rsidRPr="008900A5">
              <w:rPr>
                <w:rFonts w:ascii="Times New Roman" w:hAnsi="Times New Roman"/>
                <w:sz w:val="24"/>
                <w:szCs w:val="24"/>
                <w:lang w:eastAsia="lv-LV"/>
              </w:rPr>
              <w:t>14</w:t>
            </w:r>
            <w:r w:rsidRPr="008900A5">
              <w:rPr>
                <w:rFonts w:ascii="Times New Roman" w:hAnsi="Times New Roman"/>
                <w:sz w:val="24"/>
                <w:szCs w:val="24"/>
                <w:lang w:eastAsia="lv-LV"/>
              </w:rPr>
              <w:t>.</w:t>
            </w:r>
            <w:r w:rsidR="00204C81" w:rsidRPr="008900A5">
              <w:rPr>
                <w:rFonts w:ascii="Times New Roman" w:hAnsi="Times New Roman"/>
                <w:sz w:val="24"/>
                <w:szCs w:val="24"/>
                <w:lang w:eastAsia="lv-LV"/>
              </w:rPr>
              <w:t xml:space="preserve"> februārī</w:t>
            </w:r>
            <w:r w:rsidRPr="00204C81">
              <w:rPr>
                <w:rFonts w:ascii="Times New Roman" w:hAnsi="Times New Roman"/>
                <w:sz w:val="24"/>
                <w:szCs w:val="24"/>
                <w:lang w:eastAsia="lv-LV"/>
              </w:rPr>
              <w:t xml:space="preserve"> tika ievietots </w:t>
            </w:r>
            <w:r w:rsidR="00204C81" w:rsidRPr="00204C81">
              <w:rPr>
                <w:rFonts w:ascii="Times New Roman" w:hAnsi="Times New Roman"/>
                <w:sz w:val="24"/>
                <w:szCs w:val="24"/>
                <w:lang w:eastAsia="lv-LV"/>
              </w:rPr>
              <w:t xml:space="preserve">Vides aizsardzības un reģionālās attīstības ministrijas </w:t>
            </w:r>
            <w:r w:rsidRPr="00204C81">
              <w:rPr>
                <w:rFonts w:ascii="Times New Roman" w:hAnsi="Times New Roman"/>
                <w:sz w:val="24"/>
                <w:szCs w:val="24"/>
                <w:lang w:eastAsia="lv-LV"/>
              </w:rPr>
              <w:t>tīmekļa vietnē</w:t>
            </w:r>
            <w:r w:rsidR="00CF6597" w:rsidRPr="00204C81">
              <w:rPr>
                <w:rFonts w:ascii="Times New Roman" w:hAnsi="Times New Roman"/>
                <w:sz w:val="24"/>
                <w:szCs w:val="24"/>
                <w:lang w:eastAsia="lv-LV"/>
              </w:rPr>
              <w:t>:</w:t>
            </w:r>
            <w:r w:rsidRPr="00204C81">
              <w:rPr>
                <w:rFonts w:ascii="Times New Roman" w:hAnsi="Times New Roman"/>
                <w:sz w:val="24"/>
                <w:szCs w:val="24"/>
                <w:lang w:eastAsia="lv-LV"/>
              </w:rPr>
              <w:t xml:space="preserve"> www.varam.gov.lv sadaļā „Sabiedrības līdzdalība”, aicinot sabiedrību izteikt savu viedokli.</w:t>
            </w:r>
          </w:p>
        </w:tc>
      </w:tr>
      <w:tr w:rsidR="00A618C5" w:rsidRPr="00FA75B1" w:rsidTr="00E579CE">
        <w:trPr>
          <w:trHeight w:val="465"/>
        </w:trPr>
        <w:tc>
          <w:tcPr>
            <w:tcW w:w="24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FA3933" w:rsidRDefault="00A618C5" w:rsidP="00970C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FA393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4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204C81" w:rsidRDefault="00A618C5" w:rsidP="00970C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204C81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Sabiedrības līdzdalības rezultāti</w:t>
            </w:r>
          </w:p>
        </w:tc>
        <w:tc>
          <w:tcPr>
            <w:tcW w:w="33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204C81" w:rsidRDefault="00204C81" w:rsidP="002802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204C81">
              <w:rPr>
                <w:rFonts w:ascii="Times New Roman" w:hAnsi="Times New Roman"/>
                <w:sz w:val="24"/>
                <w:szCs w:val="24"/>
              </w:rPr>
              <w:t>Sadaļa tiks papildināta pēc sabiedrības viedokļu saņemšanas.</w:t>
            </w:r>
          </w:p>
        </w:tc>
      </w:tr>
      <w:tr w:rsidR="00A618C5" w:rsidRPr="00FA75B1" w:rsidTr="00E579CE">
        <w:trPr>
          <w:trHeight w:val="35"/>
        </w:trPr>
        <w:tc>
          <w:tcPr>
            <w:tcW w:w="24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FA3933" w:rsidRDefault="00A618C5" w:rsidP="00970C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FA393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145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FA3933" w:rsidRDefault="00A618C5" w:rsidP="00970C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FA393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30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FA3933" w:rsidRDefault="00A618C5" w:rsidP="00970C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FA393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Nav</w:t>
            </w:r>
          </w:p>
        </w:tc>
      </w:tr>
    </w:tbl>
    <w:p w:rsidR="00A618C5" w:rsidRDefault="00A618C5" w:rsidP="00A618C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6"/>
        <w:gridCol w:w="3470"/>
        <w:gridCol w:w="5205"/>
      </w:tblGrid>
      <w:tr w:rsidR="00A618C5" w:rsidRPr="00FA75B1" w:rsidTr="00970C09">
        <w:trPr>
          <w:trHeight w:val="375"/>
        </w:trPr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A618C5" w:rsidRPr="00FA3933" w:rsidRDefault="00A618C5" w:rsidP="00970C09">
            <w:pPr>
              <w:spacing w:after="0" w:line="240" w:lineRule="auto"/>
              <w:ind w:firstLine="30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FA393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>VII. Tiesību akta projekta izpildes nodrošināšana un tās ietekme uz institūcijām</w:t>
            </w:r>
          </w:p>
        </w:tc>
      </w:tr>
      <w:tr w:rsidR="00A618C5" w:rsidRPr="00FA75B1" w:rsidTr="00970C09">
        <w:trPr>
          <w:trHeight w:val="420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FA3933" w:rsidRDefault="00A618C5" w:rsidP="00970C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FA393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9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356E4A" w:rsidRDefault="00A618C5" w:rsidP="00970C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356E4A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Projekta izpildē iesaistītās institūcijas</w:t>
            </w:r>
          </w:p>
        </w:tc>
        <w:tc>
          <w:tcPr>
            <w:tcW w:w="2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A618C5" w:rsidRPr="00356E4A" w:rsidRDefault="00356E4A" w:rsidP="00204C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E4A">
              <w:rPr>
                <w:rFonts w:ascii="Times New Roman" w:hAnsi="Times New Roman"/>
                <w:sz w:val="24"/>
                <w:szCs w:val="24"/>
              </w:rPr>
              <w:t xml:space="preserve">Regulators; </w:t>
            </w:r>
            <w:r w:rsidR="00204C81">
              <w:rPr>
                <w:rFonts w:ascii="Times New Roman" w:hAnsi="Times New Roman"/>
                <w:sz w:val="24"/>
                <w:szCs w:val="24"/>
              </w:rPr>
              <w:t>v</w:t>
            </w:r>
            <w:r w:rsidR="002268EE">
              <w:rPr>
                <w:rFonts w:ascii="Times New Roman" w:hAnsi="Times New Roman"/>
                <w:sz w:val="24"/>
                <w:szCs w:val="24"/>
              </w:rPr>
              <w:t xml:space="preserve">alsts </w:t>
            </w:r>
            <w:r w:rsidR="002268EE" w:rsidRPr="002268EE">
              <w:rPr>
                <w:rFonts w:ascii="Times New Roman" w:hAnsi="Times New Roman"/>
                <w:sz w:val="24"/>
                <w:szCs w:val="24"/>
              </w:rPr>
              <w:t xml:space="preserve">akciju sabiedrība </w:t>
            </w:r>
            <w:r w:rsidR="005B32F2" w:rsidRPr="002268EE">
              <w:rPr>
                <w:rFonts w:ascii="Times New Roman" w:hAnsi="Times New Roman"/>
                <w:sz w:val="24"/>
                <w:szCs w:val="24"/>
              </w:rPr>
              <w:t>“Elektronis</w:t>
            </w:r>
            <w:r w:rsidR="002268EE">
              <w:rPr>
                <w:rFonts w:ascii="Times New Roman" w:hAnsi="Times New Roman"/>
                <w:sz w:val="24"/>
                <w:szCs w:val="24"/>
              </w:rPr>
              <w:t>k</w:t>
            </w:r>
            <w:r w:rsidR="005B32F2" w:rsidRPr="002268EE">
              <w:rPr>
                <w:rFonts w:ascii="Times New Roman" w:hAnsi="Times New Roman"/>
                <w:sz w:val="24"/>
                <w:szCs w:val="24"/>
              </w:rPr>
              <w:t>ie sakari”</w:t>
            </w:r>
            <w:r w:rsidR="00204C8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618C5" w:rsidRPr="00FA75B1" w:rsidTr="00C95ADC">
        <w:trPr>
          <w:trHeight w:val="2365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FA3933" w:rsidRDefault="00A618C5" w:rsidP="00970C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FA393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9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FA3933" w:rsidRDefault="00A618C5" w:rsidP="00970C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FA393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Projekta izpildes ietekme uz pārvaldes funkcijām un institucionālo struktūru. </w:t>
            </w:r>
          </w:p>
          <w:p w:rsidR="00A618C5" w:rsidRPr="00FA3933" w:rsidRDefault="00A618C5" w:rsidP="00970C09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FA393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Jaunu institūciju izveide, esošu institūciju likvidācija vai reorganizācija, to ietekme uz institūcijas cilvēkresursiem</w:t>
            </w:r>
          </w:p>
        </w:tc>
        <w:tc>
          <w:tcPr>
            <w:tcW w:w="2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CF6597" w:rsidRPr="00E32052" w:rsidRDefault="00715454" w:rsidP="002268EE">
            <w:pPr>
              <w:shd w:val="clear" w:color="auto" w:fill="FFFFFF"/>
              <w:spacing w:line="240" w:lineRule="auto"/>
              <w:ind w:left="57" w:right="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0776">
              <w:rPr>
                <w:rFonts w:ascii="Times New Roman" w:hAnsi="Times New Roman"/>
                <w:bCs/>
                <w:sz w:val="24"/>
                <w:szCs w:val="24"/>
              </w:rPr>
              <w:t>Noteikumu projekta īstenošana tiks veikta esošo cilvēkresursu ietvaros.</w:t>
            </w:r>
            <w:r w:rsidR="00CF659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F5A92" w:rsidRPr="00E32052">
              <w:rPr>
                <w:rFonts w:ascii="Times New Roman" w:hAnsi="Times New Roman"/>
                <w:bCs/>
                <w:sz w:val="24"/>
                <w:szCs w:val="24"/>
              </w:rPr>
              <w:t>Noteikumu projekts neparedz jaunu institūciju izveidi, likvidāciju vai reorganizāciju.</w:t>
            </w:r>
          </w:p>
          <w:p w:rsidR="006F5A92" w:rsidRDefault="006F5A92" w:rsidP="00C95ADC">
            <w:pPr>
              <w:pStyle w:val="naisnod"/>
              <w:spacing w:before="0" w:after="0"/>
              <w:ind w:left="57" w:right="57"/>
              <w:jc w:val="both"/>
            </w:pPr>
            <w:r w:rsidRPr="00E32052">
              <w:rPr>
                <w:rFonts w:eastAsia="Calibri"/>
                <w:b w:val="0"/>
                <w:lang w:eastAsia="en-US"/>
              </w:rPr>
              <w:t>Noteikumu projekts neietekmē iesaistīto institūciju funkcijas un uzdevumus.</w:t>
            </w:r>
          </w:p>
        </w:tc>
      </w:tr>
      <w:tr w:rsidR="00A618C5" w:rsidRPr="00FA75B1" w:rsidTr="00970C09">
        <w:trPr>
          <w:trHeight w:val="218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FA3933" w:rsidRDefault="00A618C5" w:rsidP="00970C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FA393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9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FA3933" w:rsidRDefault="00A618C5" w:rsidP="00970C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FA393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2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618C5" w:rsidRPr="00FA3933" w:rsidRDefault="00A618C5" w:rsidP="00970C09">
            <w:pPr>
              <w:spacing w:after="0" w:line="240" w:lineRule="auto"/>
              <w:ind w:firstLine="43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FA393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Nav </w:t>
            </w:r>
          </w:p>
        </w:tc>
      </w:tr>
    </w:tbl>
    <w:p w:rsidR="00A618C5" w:rsidRDefault="00A618C5" w:rsidP="00A618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18C5" w:rsidRPr="00654903" w:rsidRDefault="00A618C5" w:rsidP="00A618C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54903">
        <w:rPr>
          <w:rFonts w:ascii="Times New Roman" w:hAnsi="Times New Roman"/>
          <w:i/>
          <w:sz w:val="24"/>
          <w:szCs w:val="24"/>
        </w:rPr>
        <w:t>Anotācijas III</w:t>
      </w:r>
      <w:r>
        <w:rPr>
          <w:rFonts w:ascii="Times New Roman" w:hAnsi="Times New Roman"/>
          <w:i/>
          <w:sz w:val="24"/>
          <w:szCs w:val="24"/>
        </w:rPr>
        <w:t>, V</w:t>
      </w:r>
      <w:r w:rsidRPr="00654903">
        <w:rPr>
          <w:rFonts w:ascii="Times New Roman" w:hAnsi="Times New Roman"/>
          <w:i/>
          <w:sz w:val="24"/>
          <w:szCs w:val="24"/>
        </w:rPr>
        <w:t xml:space="preserve"> sadaļa – projekts š</w:t>
      </w:r>
      <w:r w:rsidR="00853650">
        <w:rPr>
          <w:rFonts w:ascii="Times New Roman" w:hAnsi="Times New Roman"/>
          <w:i/>
          <w:sz w:val="24"/>
          <w:szCs w:val="24"/>
        </w:rPr>
        <w:t>īs</w:t>
      </w:r>
      <w:r w:rsidRPr="00654903">
        <w:rPr>
          <w:rFonts w:ascii="Times New Roman" w:hAnsi="Times New Roman"/>
          <w:i/>
          <w:sz w:val="24"/>
          <w:szCs w:val="24"/>
        </w:rPr>
        <w:t xml:space="preserve"> jom</w:t>
      </w:r>
      <w:r w:rsidR="00853650">
        <w:rPr>
          <w:rFonts w:ascii="Times New Roman" w:hAnsi="Times New Roman"/>
          <w:i/>
          <w:sz w:val="24"/>
          <w:szCs w:val="24"/>
        </w:rPr>
        <w:t>as</w:t>
      </w:r>
      <w:r w:rsidRPr="00654903">
        <w:rPr>
          <w:rFonts w:ascii="Times New Roman" w:hAnsi="Times New Roman"/>
          <w:i/>
          <w:sz w:val="24"/>
          <w:szCs w:val="24"/>
        </w:rPr>
        <w:t xml:space="preserve"> neskar.</w:t>
      </w:r>
    </w:p>
    <w:p w:rsidR="00A618C5" w:rsidRDefault="00A618C5" w:rsidP="00A618C5">
      <w:pPr>
        <w:tabs>
          <w:tab w:val="left" w:pos="7230"/>
          <w:tab w:val="right" w:pos="8789"/>
        </w:tabs>
        <w:spacing w:after="0" w:line="240" w:lineRule="auto"/>
        <w:ind w:right="-143"/>
        <w:jc w:val="both"/>
        <w:rPr>
          <w:rFonts w:ascii="Times New Roman" w:hAnsi="Times New Roman"/>
          <w:sz w:val="24"/>
          <w:szCs w:val="24"/>
        </w:rPr>
      </w:pPr>
    </w:p>
    <w:p w:rsidR="00A618C5" w:rsidRPr="00E377EA" w:rsidRDefault="00A618C5" w:rsidP="00A618C5">
      <w:pPr>
        <w:tabs>
          <w:tab w:val="left" w:pos="7230"/>
          <w:tab w:val="right" w:pos="8789"/>
        </w:tabs>
        <w:spacing w:after="0" w:line="240" w:lineRule="auto"/>
        <w:ind w:right="-143"/>
        <w:jc w:val="both"/>
        <w:rPr>
          <w:rFonts w:ascii="Times New Roman" w:hAnsi="Times New Roman"/>
          <w:sz w:val="24"/>
          <w:szCs w:val="24"/>
        </w:rPr>
      </w:pPr>
    </w:p>
    <w:p w:rsidR="00B52A2D" w:rsidRPr="0096291E" w:rsidRDefault="00B52A2D" w:rsidP="00B52A2D">
      <w:pPr>
        <w:tabs>
          <w:tab w:val="left" w:pos="7230"/>
          <w:tab w:val="right" w:pos="8789"/>
        </w:tabs>
        <w:spacing w:after="0" w:line="240" w:lineRule="auto"/>
        <w:ind w:right="-143"/>
        <w:jc w:val="both"/>
        <w:rPr>
          <w:rFonts w:ascii="Times New Roman" w:hAnsi="Times New Roman"/>
          <w:sz w:val="24"/>
          <w:szCs w:val="24"/>
        </w:rPr>
      </w:pPr>
      <w:r w:rsidRPr="0096291E">
        <w:rPr>
          <w:rFonts w:ascii="Times New Roman" w:hAnsi="Times New Roman"/>
          <w:sz w:val="24"/>
          <w:szCs w:val="24"/>
        </w:rPr>
        <w:t>Vides aizsardzības un reģionālās attīstības ministrs</w:t>
      </w:r>
      <w:r w:rsidRPr="0096291E">
        <w:rPr>
          <w:rFonts w:ascii="Times New Roman" w:hAnsi="Times New Roman"/>
          <w:sz w:val="24"/>
          <w:szCs w:val="24"/>
        </w:rPr>
        <w:tab/>
        <w:t>K.Gerhards</w:t>
      </w:r>
    </w:p>
    <w:p w:rsidR="00B52A2D" w:rsidRPr="0096291E" w:rsidRDefault="00B52A2D" w:rsidP="00B52A2D">
      <w:pPr>
        <w:tabs>
          <w:tab w:val="left" w:pos="7230"/>
          <w:tab w:val="right" w:pos="8789"/>
        </w:tabs>
        <w:spacing w:after="0" w:line="240" w:lineRule="auto"/>
        <w:ind w:right="-143"/>
        <w:jc w:val="both"/>
        <w:rPr>
          <w:rFonts w:ascii="Times New Roman" w:hAnsi="Times New Roman"/>
          <w:sz w:val="24"/>
          <w:szCs w:val="24"/>
        </w:rPr>
      </w:pPr>
    </w:p>
    <w:p w:rsidR="00204C81" w:rsidRPr="0096291E" w:rsidRDefault="00204C81" w:rsidP="00204C81">
      <w:pPr>
        <w:tabs>
          <w:tab w:val="left" w:pos="7230"/>
          <w:tab w:val="right" w:pos="8789"/>
        </w:tabs>
        <w:spacing w:after="0" w:line="240" w:lineRule="auto"/>
        <w:ind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Vides aizsardzības un reģionālās attīstības</w:t>
      </w:r>
    </w:p>
    <w:p w:rsidR="00204C81" w:rsidRPr="0096291E" w:rsidRDefault="00204C81" w:rsidP="00204C8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ministrijas </w:t>
      </w:r>
      <w:r w:rsidRPr="0096291E">
        <w:rPr>
          <w:rFonts w:ascii="Times New Roman" w:hAnsi="Times New Roman"/>
          <w:bCs/>
          <w:sz w:val="24"/>
          <w:szCs w:val="24"/>
        </w:rPr>
        <w:t>valsts sekretār</w:t>
      </w:r>
      <w:r>
        <w:rPr>
          <w:rFonts w:ascii="Times New Roman" w:hAnsi="Times New Roman"/>
          <w:bCs/>
          <w:sz w:val="24"/>
          <w:szCs w:val="24"/>
        </w:rPr>
        <w:t>s</w:t>
      </w:r>
      <w:r w:rsidRPr="0096291E">
        <w:rPr>
          <w:rFonts w:ascii="Times New Roman" w:hAnsi="Times New Roman"/>
          <w:bCs/>
          <w:sz w:val="24"/>
          <w:szCs w:val="24"/>
        </w:rPr>
        <w:tab/>
      </w:r>
      <w:r w:rsidRPr="0096291E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R</w:t>
      </w:r>
      <w:r w:rsidRPr="0096291E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 Muciņš</w:t>
      </w:r>
    </w:p>
    <w:p w:rsidR="00A618C5" w:rsidRDefault="00A618C5" w:rsidP="00A618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18C5" w:rsidRPr="00FA3933" w:rsidRDefault="00A618C5" w:rsidP="00A618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18C5" w:rsidRPr="00FA3933" w:rsidRDefault="00A618C5" w:rsidP="00A618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D1C92" w:rsidRDefault="00E377EA" w:rsidP="00E377EA">
      <w:pPr>
        <w:spacing w:after="0" w:line="240" w:lineRule="auto"/>
        <w:jc w:val="both"/>
        <w:rPr>
          <w:rFonts w:ascii="Times New Roman" w:hAnsi="Times New Roman"/>
          <w:sz w:val="20"/>
          <w:szCs w:val="24"/>
          <w:lang w:eastAsia="lv-LV" w:bidi="lo-LA"/>
        </w:rPr>
      </w:pPr>
      <w:r>
        <w:rPr>
          <w:rFonts w:ascii="Times New Roman" w:hAnsi="Times New Roman"/>
          <w:sz w:val="20"/>
          <w:szCs w:val="24"/>
          <w:lang w:eastAsia="lv-LV" w:bidi="lo-LA"/>
        </w:rPr>
        <w:t>Vāvere</w:t>
      </w:r>
      <w:r w:rsidR="00ED1C92">
        <w:rPr>
          <w:rFonts w:ascii="Times New Roman" w:hAnsi="Times New Roman"/>
          <w:sz w:val="20"/>
          <w:szCs w:val="24"/>
          <w:lang w:eastAsia="lv-LV" w:bidi="lo-LA"/>
        </w:rPr>
        <w:t xml:space="preserve">, </w:t>
      </w:r>
      <w:r>
        <w:rPr>
          <w:rFonts w:ascii="Times New Roman" w:hAnsi="Times New Roman"/>
          <w:sz w:val="20"/>
          <w:szCs w:val="24"/>
          <w:lang w:eastAsia="lv-LV" w:bidi="lo-LA"/>
        </w:rPr>
        <w:t>67026936</w:t>
      </w:r>
    </w:p>
    <w:p w:rsidR="00E377EA" w:rsidRPr="00FA3933" w:rsidRDefault="00DD7D55" w:rsidP="00E377EA">
      <w:pPr>
        <w:spacing w:after="0" w:line="240" w:lineRule="auto"/>
        <w:jc w:val="both"/>
        <w:rPr>
          <w:rFonts w:ascii="Times New Roman" w:hAnsi="Times New Roman"/>
          <w:sz w:val="20"/>
          <w:szCs w:val="24"/>
          <w:lang w:eastAsia="lv-LV" w:bidi="lo-LA"/>
        </w:rPr>
      </w:pPr>
      <w:hyperlink r:id="rId6" w:history="1">
        <w:r w:rsidR="00E377EA" w:rsidRPr="00AD2468">
          <w:rPr>
            <w:rStyle w:val="Hyperlink"/>
            <w:rFonts w:ascii="Times New Roman" w:hAnsi="Times New Roman"/>
            <w:sz w:val="20"/>
            <w:szCs w:val="24"/>
            <w:lang w:eastAsia="lv-LV" w:bidi="lo-LA"/>
          </w:rPr>
          <w:t>Aija.Vavere@varam.gov.lv</w:t>
        </w:r>
      </w:hyperlink>
      <w:r w:rsidR="00E377EA" w:rsidRPr="00FA3933">
        <w:rPr>
          <w:rFonts w:ascii="Times New Roman" w:hAnsi="Times New Roman"/>
          <w:sz w:val="20"/>
          <w:szCs w:val="24"/>
          <w:lang w:eastAsia="lv-LV" w:bidi="lo-LA"/>
        </w:rPr>
        <w:t xml:space="preserve"> </w:t>
      </w:r>
    </w:p>
    <w:p w:rsidR="00E377EA" w:rsidRPr="00AA718A" w:rsidRDefault="00E377EA" w:rsidP="00E377EA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2312" w:rsidRDefault="00072312"/>
    <w:p w:rsidR="00E055E9" w:rsidRDefault="00072312" w:rsidP="00072312">
      <w:pPr>
        <w:tabs>
          <w:tab w:val="left" w:pos="7680"/>
        </w:tabs>
      </w:pPr>
      <w:r>
        <w:tab/>
      </w:r>
    </w:p>
    <w:p w:rsidR="00FF046C" w:rsidRDefault="00E055E9" w:rsidP="00E055E9">
      <w:pPr>
        <w:tabs>
          <w:tab w:val="left" w:pos="3760"/>
        </w:tabs>
      </w:pPr>
      <w:r>
        <w:tab/>
      </w:r>
    </w:p>
    <w:p w:rsidR="00FF046C" w:rsidRPr="00FF046C" w:rsidRDefault="00FF046C" w:rsidP="00FF046C"/>
    <w:p w:rsidR="00FF046C" w:rsidRPr="00FF046C" w:rsidRDefault="00FF046C" w:rsidP="00FF046C"/>
    <w:p w:rsidR="00FF046C" w:rsidRPr="00FF046C" w:rsidRDefault="00FF046C" w:rsidP="00FF046C"/>
    <w:p w:rsidR="00FF046C" w:rsidRDefault="00FF046C" w:rsidP="00FF046C"/>
    <w:p w:rsidR="00000023" w:rsidRPr="00FF046C" w:rsidRDefault="00000023" w:rsidP="00FF046C">
      <w:pPr>
        <w:jc w:val="center"/>
      </w:pPr>
    </w:p>
    <w:sectPr w:rsidR="00000023" w:rsidRPr="00FF046C" w:rsidSect="00FA62FA">
      <w:headerReference w:type="default" r:id="rId7"/>
      <w:footerReference w:type="default" r:id="rId8"/>
      <w:footerReference w:type="first" r:id="rId9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0E3" w:rsidRDefault="00CA70E3">
      <w:pPr>
        <w:spacing w:after="0" w:line="240" w:lineRule="auto"/>
      </w:pPr>
      <w:r>
        <w:separator/>
      </w:r>
    </w:p>
  </w:endnote>
  <w:endnote w:type="continuationSeparator" w:id="0">
    <w:p w:rsidR="00CA70E3" w:rsidRDefault="00CA7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5A9" w:rsidRPr="00540475" w:rsidRDefault="008900A5" w:rsidP="00540475">
    <w:pPr>
      <w:pStyle w:val="Footer"/>
      <w:jc w:val="both"/>
      <w:rPr>
        <w:rFonts w:ascii="Times New Roman" w:hAnsi="Times New Roman"/>
        <w:sz w:val="20"/>
        <w:szCs w:val="20"/>
      </w:rPr>
    </w:pPr>
    <w:fldSimple w:instr=" FILENAME   \* MERGEFORMAT ">
      <w:r w:rsidR="00051E94" w:rsidRPr="00051E94">
        <w:rPr>
          <w:rFonts w:ascii="Times New Roman" w:hAnsi="Times New Roman"/>
          <w:noProof/>
          <w:sz w:val="20"/>
          <w:szCs w:val="20"/>
        </w:rPr>
        <w:t>VARAMAnot_160217_NumerPlans</w:t>
      </w:r>
    </w:fldSimple>
    <w:r w:rsidR="00A618C5" w:rsidRPr="00586989">
      <w:rPr>
        <w:rFonts w:ascii="Times New Roman" w:hAnsi="Times New Roman"/>
        <w:sz w:val="20"/>
        <w:szCs w:val="20"/>
      </w:rPr>
      <w:t>; Ministru kabineta noteikumu projekta „</w:t>
    </w:r>
    <w:r w:rsidR="00E377EA" w:rsidRPr="00F350AC">
      <w:rPr>
        <w:rFonts w:ascii="Times New Roman" w:hAnsi="Times New Roman"/>
        <w:sz w:val="20"/>
        <w:szCs w:val="20"/>
      </w:rPr>
      <w:t>Grozījum</w:t>
    </w:r>
    <w:r w:rsidR="00993674">
      <w:rPr>
        <w:rFonts w:ascii="Times New Roman" w:hAnsi="Times New Roman"/>
        <w:sz w:val="20"/>
        <w:szCs w:val="20"/>
      </w:rPr>
      <w:t>i</w:t>
    </w:r>
    <w:r w:rsidR="00E377EA" w:rsidRPr="00F350AC">
      <w:rPr>
        <w:rFonts w:ascii="Times New Roman" w:hAnsi="Times New Roman"/>
        <w:sz w:val="20"/>
        <w:szCs w:val="20"/>
      </w:rPr>
      <w:t xml:space="preserve"> Ministru kabineta 20</w:t>
    </w:r>
    <w:r w:rsidR="00E377EA">
      <w:rPr>
        <w:rFonts w:ascii="Times New Roman" w:hAnsi="Times New Roman"/>
        <w:sz w:val="20"/>
        <w:szCs w:val="20"/>
      </w:rPr>
      <w:t>15</w:t>
    </w:r>
    <w:r w:rsidR="00E377EA" w:rsidRPr="00F350AC">
      <w:rPr>
        <w:rFonts w:ascii="Times New Roman" w:hAnsi="Times New Roman"/>
        <w:sz w:val="20"/>
        <w:szCs w:val="20"/>
      </w:rPr>
      <w:t>.gad</w:t>
    </w:r>
    <w:r w:rsidR="00E377EA">
      <w:rPr>
        <w:rFonts w:ascii="Times New Roman" w:hAnsi="Times New Roman"/>
        <w:sz w:val="20"/>
        <w:szCs w:val="20"/>
      </w:rPr>
      <w:t>a 30.jūnija noteikumos Nr.367 „N</w:t>
    </w:r>
    <w:r w:rsidR="00E377EA" w:rsidRPr="00F350AC">
      <w:rPr>
        <w:rFonts w:ascii="Times New Roman" w:hAnsi="Times New Roman"/>
        <w:sz w:val="20"/>
        <w:szCs w:val="20"/>
      </w:rPr>
      <w:t>acionāl</w:t>
    </w:r>
    <w:r w:rsidR="00E377EA">
      <w:rPr>
        <w:rFonts w:ascii="Times New Roman" w:hAnsi="Times New Roman"/>
        <w:sz w:val="20"/>
        <w:szCs w:val="20"/>
      </w:rPr>
      <w:t>ais</w:t>
    </w:r>
    <w:r w:rsidR="00E377EA" w:rsidRPr="00F350AC">
      <w:rPr>
        <w:rFonts w:ascii="Times New Roman" w:hAnsi="Times New Roman"/>
        <w:sz w:val="20"/>
        <w:szCs w:val="20"/>
      </w:rPr>
      <w:t xml:space="preserve"> numerācijas plān</w:t>
    </w:r>
    <w:r w:rsidR="00E377EA">
      <w:rPr>
        <w:rFonts w:ascii="Times New Roman" w:hAnsi="Times New Roman"/>
        <w:sz w:val="20"/>
        <w:szCs w:val="20"/>
      </w:rPr>
      <w:t>s””</w:t>
    </w:r>
    <w:r w:rsidR="00A618C5" w:rsidRPr="00586989">
      <w:rPr>
        <w:rFonts w:ascii="Times New Roman" w:hAnsi="Times New Roman"/>
        <w:sz w:val="20"/>
        <w:szCs w:val="20"/>
      </w:rPr>
      <w:t xml:space="preserve"> sākotnējās ietekmes n</w:t>
    </w:r>
    <w:r w:rsidR="00A618C5">
      <w:rPr>
        <w:rFonts w:ascii="Times New Roman" w:hAnsi="Times New Roman"/>
        <w:sz w:val="20"/>
        <w:szCs w:val="20"/>
      </w:rPr>
      <w:t>ovērtējuma ziņojums (anotācija)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04B" w:rsidRPr="00540475" w:rsidRDefault="008900A5" w:rsidP="0025704B">
    <w:pPr>
      <w:pStyle w:val="Footer"/>
      <w:jc w:val="both"/>
      <w:rPr>
        <w:rFonts w:ascii="Times New Roman" w:hAnsi="Times New Roman"/>
        <w:sz w:val="20"/>
        <w:szCs w:val="20"/>
      </w:rPr>
    </w:pPr>
    <w:fldSimple w:instr=" FILENAME   \* MERGEFORMAT ">
      <w:r w:rsidR="00051E94" w:rsidRPr="00051E94">
        <w:rPr>
          <w:rFonts w:ascii="Times New Roman" w:hAnsi="Times New Roman"/>
          <w:noProof/>
          <w:sz w:val="20"/>
          <w:szCs w:val="20"/>
        </w:rPr>
        <w:t>VARAMAnot_160217_NumerPlans</w:t>
      </w:r>
    </w:fldSimple>
    <w:r w:rsidR="0025704B" w:rsidRPr="00586989">
      <w:rPr>
        <w:rFonts w:ascii="Times New Roman" w:hAnsi="Times New Roman"/>
        <w:sz w:val="20"/>
        <w:szCs w:val="20"/>
      </w:rPr>
      <w:t>; Ministru kabineta noteikumu projekta „</w:t>
    </w:r>
    <w:r w:rsidR="0025704B" w:rsidRPr="00F350AC">
      <w:rPr>
        <w:rFonts w:ascii="Times New Roman" w:hAnsi="Times New Roman"/>
        <w:sz w:val="20"/>
        <w:szCs w:val="20"/>
      </w:rPr>
      <w:t>Grozījum</w:t>
    </w:r>
    <w:r w:rsidR="00993674">
      <w:rPr>
        <w:rFonts w:ascii="Times New Roman" w:hAnsi="Times New Roman"/>
        <w:sz w:val="20"/>
        <w:szCs w:val="20"/>
      </w:rPr>
      <w:t>i</w:t>
    </w:r>
    <w:r w:rsidR="0025704B" w:rsidRPr="00F350AC">
      <w:rPr>
        <w:rFonts w:ascii="Times New Roman" w:hAnsi="Times New Roman"/>
        <w:sz w:val="20"/>
        <w:szCs w:val="20"/>
      </w:rPr>
      <w:t xml:space="preserve"> Ministru kabineta 20</w:t>
    </w:r>
    <w:r w:rsidR="0025704B">
      <w:rPr>
        <w:rFonts w:ascii="Times New Roman" w:hAnsi="Times New Roman"/>
        <w:sz w:val="20"/>
        <w:szCs w:val="20"/>
      </w:rPr>
      <w:t>15</w:t>
    </w:r>
    <w:r w:rsidR="0025704B" w:rsidRPr="00F350AC">
      <w:rPr>
        <w:rFonts w:ascii="Times New Roman" w:hAnsi="Times New Roman"/>
        <w:sz w:val="20"/>
        <w:szCs w:val="20"/>
      </w:rPr>
      <w:t>.gad</w:t>
    </w:r>
    <w:r w:rsidR="0025704B">
      <w:rPr>
        <w:rFonts w:ascii="Times New Roman" w:hAnsi="Times New Roman"/>
        <w:sz w:val="20"/>
        <w:szCs w:val="20"/>
      </w:rPr>
      <w:t>a 30.jūnija noteikumos Nr.367 „N</w:t>
    </w:r>
    <w:r w:rsidR="0025704B" w:rsidRPr="00F350AC">
      <w:rPr>
        <w:rFonts w:ascii="Times New Roman" w:hAnsi="Times New Roman"/>
        <w:sz w:val="20"/>
        <w:szCs w:val="20"/>
      </w:rPr>
      <w:t>acionāl</w:t>
    </w:r>
    <w:r w:rsidR="0025704B">
      <w:rPr>
        <w:rFonts w:ascii="Times New Roman" w:hAnsi="Times New Roman"/>
        <w:sz w:val="20"/>
        <w:szCs w:val="20"/>
      </w:rPr>
      <w:t>ais</w:t>
    </w:r>
    <w:r w:rsidR="0025704B" w:rsidRPr="00F350AC">
      <w:rPr>
        <w:rFonts w:ascii="Times New Roman" w:hAnsi="Times New Roman"/>
        <w:sz w:val="20"/>
        <w:szCs w:val="20"/>
      </w:rPr>
      <w:t xml:space="preserve"> numerācijas plān</w:t>
    </w:r>
    <w:r w:rsidR="0025704B">
      <w:rPr>
        <w:rFonts w:ascii="Times New Roman" w:hAnsi="Times New Roman"/>
        <w:sz w:val="20"/>
        <w:szCs w:val="20"/>
      </w:rPr>
      <w:t>s””</w:t>
    </w:r>
    <w:r w:rsidR="0025704B" w:rsidRPr="00586989">
      <w:rPr>
        <w:rFonts w:ascii="Times New Roman" w:hAnsi="Times New Roman"/>
        <w:sz w:val="20"/>
        <w:szCs w:val="20"/>
      </w:rPr>
      <w:t xml:space="preserve"> sākotnējās ietekmes n</w:t>
    </w:r>
    <w:r w:rsidR="0025704B">
      <w:rPr>
        <w:rFonts w:ascii="Times New Roman" w:hAnsi="Times New Roman"/>
        <w:sz w:val="20"/>
        <w:szCs w:val="20"/>
      </w:rPr>
      <w:t>ovērtējuma ziņojums (anotācija)</w:t>
    </w:r>
  </w:p>
  <w:p w:rsidR="004D15A9" w:rsidRPr="0025704B" w:rsidRDefault="00DD7D55" w:rsidP="002570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0E3" w:rsidRDefault="00CA70E3">
      <w:pPr>
        <w:spacing w:after="0" w:line="240" w:lineRule="auto"/>
      </w:pPr>
      <w:r>
        <w:separator/>
      </w:r>
    </w:p>
  </w:footnote>
  <w:footnote w:type="continuationSeparator" w:id="0">
    <w:p w:rsidR="00CA70E3" w:rsidRDefault="00CA70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5A9" w:rsidRPr="00540475" w:rsidRDefault="00CB76DA" w:rsidP="00540475">
    <w:pPr>
      <w:pStyle w:val="Header"/>
      <w:jc w:val="center"/>
      <w:rPr>
        <w:rFonts w:ascii="Times New Roman" w:hAnsi="Times New Roman"/>
        <w:sz w:val="24"/>
        <w:szCs w:val="24"/>
      </w:rPr>
    </w:pPr>
    <w:r w:rsidRPr="004D15A9">
      <w:rPr>
        <w:rFonts w:ascii="Times New Roman" w:hAnsi="Times New Roman"/>
        <w:sz w:val="24"/>
        <w:szCs w:val="24"/>
      </w:rPr>
      <w:fldChar w:fldCharType="begin"/>
    </w:r>
    <w:r w:rsidR="00A618C5" w:rsidRPr="004D15A9">
      <w:rPr>
        <w:rFonts w:ascii="Times New Roman" w:hAnsi="Times New Roman"/>
        <w:sz w:val="24"/>
        <w:szCs w:val="24"/>
      </w:rPr>
      <w:instrText>PAGE   \* MERGEFORMAT</w:instrText>
    </w:r>
    <w:r w:rsidRPr="004D15A9">
      <w:rPr>
        <w:rFonts w:ascii="Times New Roman" w:hAnsi="Times New Roman"/>
        <w:sz w:val="24"/>
        <w:szCs w:val="24"/>
      </w:rPr>
      <w:fldChar w:fldCharType="separate"/>
    </w:r>
    <w:r w:rsidR="00DD7D55">
      <w:rPr>
        <w:rFonts w:ascii="Times New Roman" w:hAnsi="Times New Roman"/>
        <w:noProof/>
        <w:sz w:val="24"/>
        <w:szCs w:val="24"/>
      </w:rPr>
      <w:t>3</w:t>
    </w:r>
    <w:r w:rsidRPr="004D15A9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4203"/>
    <w:rsid w:val="00000023"/>
    <w:rsid w:val="000003BB"/>
    <w:rsid w:val="00005170"/>
    <w:rsid w:val="0000692E"/>
    <w:rsid w:val="00010FD9"/>
    <w:rsid w:val="0001101E"/>
    <w:rsid w:val="0002089E"/>
    <w:rsid w:val="000248BA"/>
    <w:rsid w:val="00033E16"/>
    <w:rsid w:val="00050DD4"/>
    <w:rsid w:val="00051E94"/>
    <w:rsid w:val="0006514A"/>
    <w:rsid w:val="00067F1D"/>
    <w:rsid w:val="00072312"/>
    <w:rsid w:val="00091DFB"/>
    <w:rsid w:val="0009269F"/>
    <w:rsid w:val="000A6DBA"/>
    <w:rsid w:val="000B4A2F"/>
    <w:rsid w:val="000D770A"/>
    <w:rsid w:val="000E41E4"/>
    <w:rsid w:val="000F4A1E"/>
    <w:rsid w:val="00103DE6"/>
    <w:rsid w:val="00123CDB"/>
    <w:rsid w:val="00125495"/>
    <w:rsid w:val="00132594"/>
    <w:rsid w:val="00143FB9"/>
    <w:rsid w:val="00160719"/>
    <w:rsid w:val="00175B79"/>
    <w:rsid w:val="00186589"/>
    <w:rsid w:val="00195CFF"/>
    <w:rsid w:val="001D3622"/>
    <w:rsid w:val="00204C81"/>
    <w:rsid w:val="00207FD3"/>
    <w:rsid w:val="00211FB3"/>
    <w:rsid w:val="00220767"/>
    <w:rsid w:val="002241C1"/>
    <w:rsid w:val="002268EE"/>
    <w:rsid w:val="0024399F"/>
    <w:rsid w:val="0025704B"/>
    <w:rsid w:val="00260901"/>
    <w:rsid w:val="0026338F"/>
    <w:rsid w:val="0027168F"/>
    <w:rsid w:val="00272B83"/>
    <w:rsid w:val="002802B1"/>
    <w:rsid w:val="00286E88"/>
    <w:rsid w:val="00292D6E"/>
    <w:rsid w:val="002A624B"/>
    <w:rsid w:val="002D036E"/>
    <w:rsid w:val="002D282B"/>
    <w:rsid w:val="00300382"/>
    <w:rsid w:val="003036B2"/>
    <w:rsid w:val="00310463"/>
    <w:rsid w:val="00327D0A"/>
    <w:rsid w:val="00344BEA"/>
    <w:rsid w:val="00345A42"/>
    <w:rsid w:val="00356E4A"/>
    <w:rsid w:val="003638F8"/>
    <w:rsid w:val="003659E0"/>
    <w:rsid w:val="0039260B"/>
    <w:rsid w:val="003B521B"/>
    <w:rsid w:val="003C0DCF"/>
    <w:rsid w:val="003C13A0"/>
    <w:rsid w:val="003D4747"/>
    <w:rsid w:val="003D5F5F"/>
    <w:rsid w:val="003F0D07"/>
    <w:rsid w:val="003F5634"/>
    <w:rsid w:val="00404C76"/>
    <w:rsid w:val="00414983"/>
    <w:rsid w:val="00417408"/>
    <w:rsid w:val="00420791"/>
    <w:rsid w:val="0045003E"/>
    <w:rsid w:val="004503F8"/>
    <w:rsid w:val="004559BA"/>
    <w:rsid w:val="00477A40"/>
    <w:rsid w:val="00496423"/>
    <w:rsid w:val="004C4240"/>
    <w:rsid w:val="004E3DA2"/>
    <w:rsid w:val="004E6DDE"/>
    <w:rsid w:val="004F2B39"/>
    <w:rsid w:val="00503454"/>
    <w:rsid w:val="00510A4D"/>
    <w:rsid w:val="00522052"/>
    <w:rsid w:val="00527246"/>
    <w:rsid w:val="00536AA7"/>
    <w:rsid w:val="00537480"/>
    <w:rsid w:val="005505D1"/>
    <w:rsid w:val="00562BB2"/>
    <w:rsid w:val="00573F53"/>
    <w:rsid w:val="00582752"/>
    <w:rsid w:val="00583017"/>
    <w:rsid w:val="005912C8"/>
    <w:rsid w:val="005B32F2"/>
    <w:rsid w:val="005B3FA3"/>
    <w:rsid w:val="005D23B4"/>
    <w:rsid w:val="005D2845"/>
    <w:rsid w:val="005F2EC3"/>
    <w:rsid w:val="006174B3"/>
    <w:rsid w:val="00622369"/>
    <w:rsid w:val="00635525"/>
    <w:rsid w:val="006470EA"/>
    <w:rsid w:val="006524B0"/>
    <w:rsid w:val="00653D99"/>
    <w:rsid w:val="00655134"/>
    <w:rsid w:val="00663663"/>
    <w:rsid w:val="00672E1B"/>
    <w:rsid w:val="006A3D09"/>
    <w:rsid w:val="006B4203"/>
    <w:rsid w:val="006C0776"/>
    <w:rsid w:val="006D180A"/>
    <w:rsid w:val="006E0964"/>
    <w:rsid w:val="006E0DF9"/>
    <w:rsid w:val="006F5A92"/>
    <w:rsid w:val="00715454"/>
    <w:rsid w:val="0074735F"/>
    <w:rsid w:val="0076421B"/>
    <w:rsid w:val="007674BB"/>
    <w:rsid w:val="00777538"/>
    <w:rsid w:val="007A05C6"/>
    <w:rsid w:val="007B58CB"/>
    <w:rsid w:val="007B58FE"/>
    <w:rsid w:val="007C4AA8"/>
    <w:rsid w:val="007E0330"/>
    <w:rsid w:val="007E0A08"/>
    <w:rsid w:val="00801C6C"/>
    <w:rsid w:val="00814759"/>
    <w:rsid w:val="008155F8"/>
    <w:rsid w:val="00853650"/>
    <w:rsid w:val="00864270"/>
    <w:rsid w:val="008660FA"/>
    <w:rsid w:val="008900A5"/>
    <w:rsid w:val="008A6D4B"/>
    <w:rsid w:val="008D4324"/>
    <w:rsid w:val="008D432B"/>
    <w:rsid w:val="008D668A"/>
    <w:rsid w:val="008F4B93"/>
    <w:rsid w:val="0091049F"/>
    <w:rsid w:val="00912F8C"/>
    <w:rsid w:val="0092365B"/>
    <w:rsid w:val="00961CF4"/>
    <w:rsid w:val="0096291E"/>
    <w:rsid w:val="00975D13"/>
    <w:rsid w:val="009841DE"/>
    <w:rsid w:val="00993674"/>
    <w:rsid w:val="0099447C"/>
    <w:rsid w:val="00997D82"/>
    <w:rsid w:val="009B24E2"/>
    <w:rsid w:val="009B3454"/>
    <w:rsid w:val="009B49D9"/>
    <w:rsid w:val="009C0AB6"/>
    <w:rsid w:val="009E0F6B"/>
    <w:rsid w:val="009E7C8A"/>
    <w:rsid w:val="009E7D6E"/>
    <w:rsid w:val="00A101BE"/>
    <w:rsid w:val="00A12F4C"/>
    <w:rsid w:val="00A212BB"/>
    <w:rsid w:val="00A36530"/>
    <w:rsid w:val="00A561B8"/>
    <w:rsid w:val="00A618C5"/>
    <w:rsid w:val="00A64830"/>
    <w:rsid w:val="00A705A6"/>
    <w:rsid w:val="00A70CE8"/>
    <w:rsid w:val="00AA1AD8"/>
    <w:rsid w:val="00AB7CFE"/>
    <w:rsid w:val="00AE2379"/>
    <w:rsid w:val="00AE5DEB"/>
    <w:rsid w:val="00AF5950"/>
    <w:rsid w:val="00B04DBE"/>
    <w:rsid w:val="00B05FFD"/>
    <w:rsid w:val="00B101CA"/>
    <w:rsid w:val="00B12BCF"/>
    <w:rsid w:val="00B346E4"/>
    <w:rsid w:val="00B52A2D"/>
    <w:rsid w:val="00B93352"/>
    <w:rsid w:val="00B96014"/>
    <w:rsid w:val="00B9703E"/>
    <w:rsid w:val="00BA5CCA"/>
    <w:rsid w:val="00BB4658"/>
    <w:rsid w:val="00BC4E6A"/>
    <w:rsid w:val="00BE055D"/>
    <w:rsid w:val="00BE6A20"/>
    <w:rsid w:val="00C102DD"/>
    <w:rsid w:val="00C15D64"/>
    <w:rsid w:val="00C20D12"/>
    <w:rsid w:val="00C265D0"/>
    <w:rsid w:val="00C46D4E"/>
    <w:rsid w:val="00C5392A"/>
    <w:rsid w:val="00C55704"/>
    <w:rsid w:val="00C83646"/>
    <w:rsid w:val="00C949DA"/>
    <w:rsid w:val="00C95ADC"/>
    <w:rsid w:val="00CA70DA"/>
    <w:rsid w:val="00CA70E3"/>
    <w:rsid w:val="00CB08CD"/>
    <w:rsid w:val="00CB76DA"/>
    <w:rsid w:val="00CC5AA7"/>
    <w:rsid w:val="00CF6597"/>
    <w:rsid w:val="00D147AF"/>
    <w:rsid w:val="00D456F9"/>
    <w:rsid w:val="00D66349"/>
    <w:rsid w:val="00D730B9"/>
    <w:rsid w:val="00D73C06"/>
    <w:rsid w:val="00D9535B"/>
    <w:rsid w:val="00DD7D55"/>
    <w:rsid w:val="00DF050D"/>
    <w:rsid w:val="00E055E9"/>
    <w:rsid w:val="00E20DF7"/>
    <w:rsid w:val="00E32052"/>
    <w:rsid w:val="00E34D0A"/>
    <w:rsid w:val="00E377EA"/>
    <w:rsid w:val="00E4701C"/>
    <w:rsid w:val="00E529D8"/>
    <w:rsid w:val="00E57438"/>
    <w:rsid w:val="00E5787C"/>
    <w:rsid w:val="00E579CE"/>
    <w:rsid w:val="00E73D0E"/>
    <w:rsid w:val="00E81F69"/>
    <w:rsid w:val="00EA669D"/>
    <w:rsid w:val="00EC45A8"/>
    <w:rsid w:val="00ED1C92"/>
    <w:rsid w:val="00ED51C3"/>
    <w:rsid w:val="00EF0FDC"/>
    <w:rsid w:val="00F02C5E"/>
    <w:rsid w:val="00F147E3"/>
    <w:rsid w:val="00F23D47"/>
    <w:rsid w:val="00F30798"/>
    <w:rsid w:val="00F71987"/>
    <w:rsid w:val="00F72944"/>
    <w:rsid w:val="00F82184"/>
    <w:rsid w:val="00F84FC2"/>
    <w:rsid w:val="00F86083"/>
    <w:rsid w:val="00F9761B"/>
    <w:rsid w:val="00FB1A6F"/>
    <w:rsid w:val="00FB4E1F"/>
    <w:rsid w:val="00FB68EF"/>
    <w:rsid w:val="00FB7659"/>
    <w:rsid w:val="00FC5D4C"/>
    <w:rsid w:val="00FC7C23"/>
    <w:rsid w:val="00FD0EF4"/>
    <w:rsid w:val="00FF046C"/>
    <w:rsid w:val="00FF7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docId w15:val="{87386A2E-8D2B-4676-A2FC-C85BA1B50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18C5"/>
    <w:pPr>
      <w:spacing w:after="200" w:line="276" w:lineRule="auto"/>
    </w:pPr>
    <w:rPr>
      <w:rFonts w:ascii="Calibri" w:eastAsia="Calibri" w:hAnsi="Calibri" w:cs="Times New Roman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18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8C5"/>
    <w:rPr>
      <w:rFonts w:ascii="Calibri" w:eastAsia="Calibri" w:hAnsi="Calibri" w:cs="Times New Roman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A618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8C5"/>
    <w:rPr>
      <w:rFonts w:ascii="Calibri" w:eastAsia="Calibri" w:hAnsi="Calibri" w:cs="Times New Roman"/>
      <w:lang w:val="lv-LV"/>
    </w:rPr>
  </w:style>
  <w:style w:type="paragraph" w:styleId="NormalWeb">
    <w:name w:val="Normal (Web)"/>
    <w:basedOn w:val="Normal"/>
    <w:uiPriority w:val="99"/>
    <w:unhideWhenUsed/>
    <w:rsid w:val="00A618C5"/>
    <w:pPr>
      <w:spacing w:before="100" w:beforeAutospacing="1" w:after="100" w:afterAutospacing="1" w:line="240" w:lineRule="auto"/>
    </w:pPr>
    <w:rPr>
      <w:rFonts w:ascii="Verdana" w:eastAsia="Times New Roman" w:hAnsi="Verdana"/>
      <w:sz w:val="18"/>
      <w:szCs w:val="18"/>
      <w:lang w:val="en-US"/>
    </w:rPr>
  </w:style>
  <w:style w:type="character" w:styleId="Hyperlink">
    <w:name w:val="Hyperlink"/>
    <w:uiPriority w:val="99"/>
    <w:unhideWhenUsed/>
    <w:rsid w:val="00A618C5"/>
    <w:rPr>
      <w:rFonts w:cs="Times New Roman"/>
      <w:color w:val="0000FF"/>
      <w:u w:val="single"/>
    </w:rPr>
  </w:style>
  <w:style w:type="paragraph" w:customStyle="1" w:styleId="tv213">
    <w:name w:val="tv213"/>
    <w:basedOn w:val="Normal"/>
    <w:rsid w:val="00A618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customStyle="1" w:styleId="Standard">
    <w:name w:val="Standard"/>
    <w:rsid w:val="00A618C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val="lv-LV" w:eastAsia="zh-CN" w:bidi="hi-IN"/>
    </w:rPr>
  </w:style>
  <w:style w:type="paragraph" w:styleId="ListParagraph">
    <w:name w:val="List Paragraph"/>
    <w:basedOn w:val="Normal"/>
    <w:uiPriority w:val="34"/>
    <w:qFormat/>
    <w:rsid w:val="00E377E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307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307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30798"/>
    <w:rPr>
      <w:rFonts w:ascii="Calibri" w:eastAsia="Calibri" w:hAnsi="Calibri" w:cs="Times New Roman"/>
      <w:sz w:val="20"/>
      <w:szCs w:val="20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07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798"/>
    <w:rPr>
      <w:rFonts w:ascii="Segoe UI" w:eastAsia="Calibri" w:hAnsi="Segoe UI" w:cs="Segoe UI"/>
      <w:sz w:val="18"/>
      <w:szCs w:val="18"/>
      <w:lang w:val="lv-LV"/>
    </w:rPr>
  </w:style>
  <w:style w:type="character" w:customStyle="1" w:styleId="apple-converted-space">
    <w:name w:val="apple-converted-space"/>
    <w:basedOn w:val="DefaultParagraphFont"/>
    <w:rsid w:val="0041498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3E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3E16"/>
    <w:rPr>
      <w:rFonts w:ascii="Calibri" w:eastAsia="Calibri" w:hAnsi="Calibri" w:cs="Times New Roman"/>
      <w:b/>
      <w:bCs/>
      <w:sz w:val="20"/>
      <w:szCs w:val="20"/>
      <w:lang w:val="lv-LV"/>
    </w:rPr>
  </w:style>
  <w:style w:type="paragraph" w:customStyle="1" w:styleId="naisnod">
    <w:name w:val="naisnod"/>
    <w:basedOn w:val="Normal"/>
    <w:rsid w:val="00CF6597"/>
    <w:pPr>
      <w:spacing w:before="150" w:after="15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lv-LV"/>
    </w:rPr>
  </w:style>
  <w:style w:type="paragraph" w:customStyle="1" w:styleId="naiskr">
    <w:name w:val="naiskr"/>
    <w:basedOn w:val="Normal"/>
    <w:rsid w:val="00F82184"/>
    <w:pPr>
      <w:spacing w:before="75" w:after="75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customStyle="1" w:styleId="tv2131">
    <w:name w:val="tv2131"/>
    <w:basedOn w:val="Normal"/>
    <w:rsid w:val="002D036E"/>
    <w:pPr>
      <w:spacing w:after="0" w:line="360" w:lineRule="auto"/>
      <w:ind w:firstLine="300"/>
    </w:pPr>
    <w:rPr>
      <w:rFonts w:ascii="Times New Roman" w:eastAsia="Times New Roman" w:hAnsi="Times New Roman"/>
      <w:color w:val="414142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ija.Vavere@varam.gov.lv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1265</TotalTime>
  <Pages>4</Pages>
  <Words>4995</Words>
  <Characters>2848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Vides aizsardzības un reģionālās attīstības ministrija</Company>
  <LinksUpToDate>false</LinksUpToDate>
  <CharactersWithSpaces>7828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projekts „Grozījumi 2015.gada 30.jūnija noteikumos Nr.367 „Nacionālais numerācijas plāns”</dc:title>
  <dc:subject>Noteikumu projekta anotācija</dc:subject>
  <dc:creator>Aija Vāvere</dc:creator>
  <cp:keywords/>
  <dc:description>67026936; Aija.Vavere@varam.gov.lv</dc:description>
  <cp:lastModifiedBy>Aija Vāvere</cp:lastModifiedBy>
  <cp:revision>93</cp:revision>
  <cp:lastPrinted>2017-01-30T10:00:00Z</cp:lastPrinted>
  <dcterms:created xsi:type="dcterms:W3CDTF">2016-02-24T13:32:00Z</dcterms:created>
  <dcterms:modified xsi:type="dcterms:W3CDTF">2017-02-15T13:58:00Z</dcterms:modified>
</cp:coreProperties>
</file>