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E5EB75" w14:textId="77777777" w:rsidR="00142CA5" w:rsidRPr="00EB4349" w:rsidRDefault="00BC4D45" w:rsidP="00EB434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="00142CA5" w:rsidRPr="00EB4349">
        <w:rPr>
          <w:rFonts w:ascii="Times New Roman" w:hAnsi="Times New Roman" w:cs="Times New Roman"/>
          <w:sz w:val="28"/>
          <w:szCs w:val="28"/>
        </w:rPr>
        <w:t>ielikums</w:t>
      </w:r>
    </w:p>
    <w:p w14:paraId="1186DFEB" w14:textId="77777777" w:rsidR="00142CA5" w:rsidRPr="00EB4349" w:rsidRDefault="00142CA5" w:rsidP="00EB434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EB4349">
        <w:rPr>
          <w:rFonts w:ascii="Times New Roman" w:hAnsi="Times New Roman" w:cs="Times New Roman"/>
          <w:sz w:val="28"/>
          <w:szCs w:val="28"/>
        </w:rPr>
        <w:t>Ministru kabineta</w:t>
      </w:r>
    </w:p>
    <w:p w14:paraId="7E48E9F2" w14:textId="3E693178" w:rsidR="00142CA5" w:rsidRPr="00EB4349" w:rsidRDefault="00142CA5" w:rsidP="00EB434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EB4349">
        <w:rPr>
          <w:rFonts w:ascii="Times New Roman" w:hAnsi="Times New Roman" w:cs="Times New Roman"/>
          <w:sz w:val="28"/>
          <w:szCs w:val="28"/>
        </w:rPr>
        <w:t>2017.</w:t>
      </w:r>
      <w:r w:rsidR="0034443E">
        <w:rPr>
          <w:rFonts w:ascii="Times New Roman" w:hAnsi="Times New Roman" w:cs="Times New Roman"/>
          <w:sz w:val="28"/>
          <w:szCs w:val="28"/>
        </w:rPr>
        <w:t xml:space="preserve"> </w:t>
      </w:r>
      <w:r w:rsidRPr="00EB4349">
        <w:rPr>
          <w:rFonts w:ascii="Times New Roman" w:hAnsi="Times New Roman" w:cs="Times New Roman"/>
          <w:sz w:val="28"/>
          <w:szCs w:val="28"/>
        </w:rPr>
        <w:t xml:space="preserve">gada </w:t>
      </w:r>
      <w:r w:rsidR="002E6D21" w:rsidRPr="00EB4349">
        <w:rPr>
          <w:rFonts w:ascii="Times New Roman" w:hAnsi="Times New Roman" w:cs="Times New Roman"/>
          <w:sz w:val="28"/>
          <w:szCs w:val="28"/>
        </w:rPr>
        <w:t>______</w:t>
      </w:r>
      <w:r w:rsidRPr="00EB4349">
        <w:rPr>
          <w:rFonts w:ascii="Times New Roman" w:hAnsi="Times New Roman" w:cs="Times New Roman"/>
          <w:sz w:val="28"/>
          <w:szCs w:val="28"/>
        </w:rPr>
        <w:t xml:space="preserve"> noteikumiem Nr.</w:t>
      </w:r>
      <w:r w:rsidR="002E6D21" w:rsidRPr="00EB4349">
        <w:rPr>
          <w:rFonts w:ascii="Times New Roman" w:hAnsi="Times New Roman" w:cs="Times New Roman"/>
          <w:sz w:val="28"/>
          <w:szCs w:val="28"/>
        </w:rPr>
        <w:t>___</w:t>
      </w:r>
    </w:p>
    <w:p w14:paraId="4E43F63A" w14:textId="77777777" w:rsidR="00142CA5" w:rsidRPr="00EB4349" w:rsidRDefault="00142CA5" w:rsidP="00EB43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49FF17" w14:textId="77777777" w:rsidR="00142CA5" w:rsidRPr="00EB4349" w:rsidRDefault="00142CA5" w:rsidP="00EB434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14:paraId="51CBDE09" w14:textId="77777777" w:rsidR="00FA5444" w:rsidRPr="00EB4349" w:rsidRDefault="00324FCA" w:rsidP="00EB434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Siltumnīcefekta gāzu emisij</w:t>
      </w:r>
      <w:r w:rsidR="004D62D3">
        <w:rPr>
          <w:rFonts w:ascii="Times New Roman" w:hAnsi="Times New Roman" w:cs="Times New Roman"/>
          <w:b/>
          <w:sz w:val="28"/>
          <w:szCs w:val="28"/>
        </w:rPr>
        <w:t>as</w:t>
      </w:r>
      <w:r w:rsidR="00142CA5" w:rsidRPr="00EB4349">
        <w:rPr>
          <w:rFonts w:ascii="Times New Roman" w:hAnsi="Times New Roman" w:cs="Times New Roman"/>
          <w:b/>
          <w:sz w:val="28"/>
          <w:szCs w:val="28"/>
        </w:rPr>
        <w:t xml:space="preserve"> faktori</w:t>
      </w:r>
    </w:p>
    <w:p w14:paraId="1511E074" w14:textId="77777777" w:rsidR="00FA5444" w:rsidRPr="00EB4349" w:rsidRDefault="00FA5444" w:rsidP="00EB434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14:paraId="69DC8C2B" w14:textId="77777777" w:rsidR="00142CA5" w:rsidRPr="00EB4349" w:rsidRDefault="00FA5444" w:rsidP="00354C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4349">
        <w:rPr>
          <w:rFonts w:ascii="Times New Roman" w:hAnsi="Times New Roman" w:cs="Times New Roman"/>
          <w:sz w:val="28"/>
          <w:szCs w:val="28"/>
        </w:rPr>
        <w:t>1. </w:t>
      </w:r>
      <w:r w:rsidR="00714A90">
        <w:rPr>
          <w:rFonts w:ascii="Times New Roman" w:hAnsi="Times New Roman" w:cs="Times New Roman"/>
          <w:sz w:val="28"/>
          <w:szCs w:val="28"/>
        </w:rPr>
        <w:t>E</w:t>
      </w:r>
      <w:r w:rsidR="00354C84">
        <w:rPr>
          <w:rFonts w:ascii="Times New Roman" w:hAnsi="Times New Roman" w:cs="Times New Roman"/>
          <w:sz w:val="28"/>
          <w:szCs w:val="28"/>
        </w:rPr>
        <w:t>nergonesēju un enerģijas avotu</w:t>
      </w:r>
      <w:r w:rsidR="00354C84" w:rsidRPr="00EB4349">
        <w:rPr>
          <w:rFonts w:ascii="Times New Roman" w:hAnsi="Times New Roman" w:cs="Times New Roman"/>
          <w:sz w:val="28"/>
          <w:szCs w:val="28"/>
        </w:rPr>
        <w:t xml:space="preserve"> </w:t>
      </w:r>
      <w:r w:rsidR="00142CA5" w:rsidRPr="00EB4349">
        <w:rPr>
          <w:rFonts w:ascii="Times New Roman" w:hAnsi="Times New Roman" w:cs="Times New Roman"/>
          <w:sz w:val="28"/>
          <w:szCs w:val="28"/>
        </w:rPr>
        <w:t>veid</w:t>
      </w:r>
      <w:r w:rsidR="009A140D">
        <w:rPr>
          <w:rFonts w:ascii="Times New Roman" w:hAnsi="Times New Roman" w:cs="Times New Roman"/>
          <w:sz w:val="28"/>
          <w:szCs w:val="28"/>
        </w:rPr>
        <w:t>u CO</w:t>
      </w:r>
      <w:r w:rsidR="00646917" w:rsidRPr="0064691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A140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9A140D">
        <w:rPr>
          <w:rFonts w:ascii="Times New Roman" w:hAnsi="Times New Roman" w:cs="Times New Roman"/>
          <w:sz w:val="28"/>
          <w:szCs w:val="28"/>
        </w:rPr>
        <w:t>emisijas faktor</w:t>
      </w:r>
      <w:r w:rsidR="00714A90">
        <w:rPr>
          <w:rFonts w:ascii="Times New Roman" w:hAnsi="Times New Roman" w:cs="Times New Roman"/>
          <w:sz w:val="28"/>
          <w:szCs w:val="28"/>
        </w:rPr>
        <w:t>i.</w:t>
      </w:r>
    </w:p>
    <w:p w14:paraId="4CFA3925" w14:textId="77777777" w:rsidR="00FA5444" w:rsidRPr="00EB4349" w:rsidRDefault="009A140D" w:rsidP="00EB434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6F0D05" w14:textId="32F4A0CA" w:rsidR="00142CA5" w:rsidRPr="00800CB1" w:rsidRDefault="00142CA5" w:rsidP="00800CB1">
      <w:pPr>
        <w:pStyle w:val="ListParagraph"/>
        <w:numPr>
          <w:ilvl w:val="0"/>
          <w:numId w:val="3"/>
        </w:num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00CB1">
        <w:rPr>
          <w:rFonts w:ascii="Times New Roman" w:hAnsi="Times New Roman" w:cs="Times New Roman"/>
          <w:sz w:val="28"/>
          <w:szCs w:val="28"/>
        </w:rPr>
        <w:t>tabula</w:t>
      </w:r>
    </w:p>
    <w:tbl>
      <w:tblPr>
        <w:tblStyle w:val="TableGrid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240"/>
        <w:gridCol w:w="2126"/>
        <w:gridCol w:w="2155"/>
        <w:gridCol w:w="1418"/>
        <w:gridCol w:w="1559"/>
      </w:tblGrid>
      <w:tr w:rsidR="003A6558" w:rsidRPr="00F2672A" w14:paraId="6FBFE75E" w14:textId="77777777" w:rsidTr="00EF60EA">
        <w:trPr>
          <w:tblHeader/>
        </w:trPr>
        <w:tc>
          <w:tcPr>
            <w:tcW w:w="4366" w:type="dxa"/>
            <w:gridSpan w:val="2"/>
            <w:vAlign w:val="center"/>
          </w:tcPr>
          <w:p w14:paraId="5D5344B8" w14:textId="77777777" w:rsidR="003A6558" w:rsidRPr="00EF60EA" w:rsidRDefault="003A6558" w:rsidP="00E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Energonesējs vai enerģijas avots</w:t>
            </w:r>
          </w:p>
        </w:tc>
        <w:tc>
          <w:tcPr>
            <w:tcW w:w="2155" w:type="dxa"/>
            <w:vAlign w:val="center"/>
          </w:tcPr>
          <w:p w14:paraId="5E8020C2" w14:textId="77777777" w:rsidR="003A6558" w:rsidRPr="00EF60EA" w:rsidRDefault="003A6558" w:rsidP="00E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 xml:space="preserve">Zemākais sadegšanas siltums, 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z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</m:sup>
              </m:sSubSup>
            </m:oMath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, MJ/kg</w:t>
            </w:r>
          </w:p>
        </w:tc>
        <w:tc>
          <w:tcPr>
            <w:tcW w:w="1418" w:type="dxa"/>
            <w:vAlign w:val="center"/>
          </w:tcPr>
          <w:p w14:paraId="74758B1D" w14:textId="04F31364" w:rsidR="003A6558" w:rsidRPr="00EF60EA" w:rsidRDefault="003A6558" w:rsidP="00E05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 xml:space="preserve">Emisijas faktors,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</m:oMath>
            <w:r w:rsidRPr="00EF60EA">
              <w:rPr>
                <w:rFonts w:ascii="Times New Roman" w:hAnsi="Times New Roman" w:cs="Times New Roman"/>
                <w:sz w:val="24"/>
                <w:szCs w:val="24"/>
              </w:rPr>
              <w:t xml:space="preserve"> t CO</w:t>
            </w:r>
            <w:r w:rsidRPr="00EF60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/TJ</w:t>
            </w:r>
          </w:p>
        </w:tc>
        <w:tc>
          <w:tcPr>
            <w:tcW w:w="1559" w:type="dxa"/>
            <w:vAlign w:val="center"/>
          </w:tcPr>
          <w:p w14:paraId="5C66D32A" w14:textId="2A80DC54" w:rsidR="003A6558" w:rsidRPr="00EF60EA" w:rsidRDefault="00696B0C" w:rsidP="00E05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Pr="00EF60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="003A6558" w:rsidRPr="00EF60EA">
              <w:rPr>
                <w:rFonts w:ascii="Times New Roman" w:hAnsi="Times New Roman" w:cs="Times New Roman"/>
                <w:sz w:val="24"/>
                <w:szCs w:val="24"/>
              </w:rPr>
              <w:t xml:space="preserve">misijas faktors,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</m:oMath>
            <w:r w:rsidR="00904A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A6558" w:rsidRPr="00EF60EA">
              <w:rPr>
                <w:rFonts w:ascii="Times New Roman" w:hAnsi="Times New Roman" w:cs="Times New Roman"/>
                <w:sz w:val="24"/>
                <w:szCs w:val="24"/>
              </w:rPr>
              <w:t>t CO</w:t>
            </w:r>
            <w:r w:rsidR="003A6558" w:rsidRPr="00EF60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3A6558" w:rsidRPr="00EF60E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3A6558" w:rsidRPr="00EF60EA">
              <w:rPr>
                <w:rFonts w:ascii="Times New Roman" w:hAnsi="Times New Roman" w:cs="Times New Roman"/>
                <w:sz w:val="24"/>
                <w:szCs w:val="24"/>
              </w:rPr>
              <w:t>MWh</w:t>
            </w:r>
            <w:proofErr w:type="spellEnd"/>
          </w:p>
        </w:tc>
      </w:tr>
      <w:tr w:rsidR="003A6558" w:rsidRPr="00F2672A" w14:paraId="6F250D84" w14:textId="77777777" w:rsidTr="00345895">
        <w:tc>
          <w:tcPr>
            <w:tcW w:w="2240" w:type="dxa"/>
            <w:vMerge w:val="restart"/>
            <w:vAlign w:val="center"/>
          </w:tcPr>
          <w:p w14:paraId="301BFDAE" w14:textId="77777777" w:rsidR="003A6558" w:rsidRPr="00EF60EA" w:rsidRDefault="003A6558" w:rsidP="00354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Kurināmā veids*</w:t>
            </w:r>
          </w:p>
        </w:tc>
        <w:tc>
          <w:tcPr>
            <w:tcW w:w="2126" w:type="dxa"/>
            <w:vAlign w:val="center"/>
          </w:tcPr>
          <w:p w14:paraId="3CDFD1DB" w14:textId="77777777" w:rsidR="003A6558" w:rsidRPr="00EF60EA" w:rsidRDefault="003A6558" w:rsidP="00EB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Akmeņogles (antracīts)</w:t>
            </w:r>
          </w:p>
        </w:tc>
        <w:tc>
          <w:tcPr>
            <w:tcW w:w="2155" w:type="dxa"/>
          </w:tcPr>
          <w:p w14:paraId="718289A2" w14:textId="77777777" w:rsidR="003A6558" w:rsidRPr="00EF60EA" w:rsidRDefault="003A6558" w:rsidP="00E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418" w:type="dxa"/>
          </w:tcPr>
          <w:p w14:paraId="37E70C34" w14:textId="77777777" w:rsidR="003A6558" w:rsidRPr="00EF60EA" w:rsidRDefault="003A6558" w:rsidP="00E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1559" w:type="dxa"/>
          </w:tcPr>
          <w:p w14:paraId="35CC0693" w14:textId="77777777" w:rsidR="003A6558" w:rsidRPr="00EF60EA" w:rsidRDefault="003A6558" w:rsidP="00E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0,354</w:t>
            </w:r>
          </w:p>
        </w:tc>
      </w:tr>
      <w:tr w:rsidR="003A6558" w:rsidRPr="00F2672A" w14:paraId="7119C964" w14:textId="77777777" w:rsidTr="00345895">
        <w:tc>
          <w:tcPr>
            <w:tcW w:w="2240" w:type="dxa"/>
            <w:vMerge/>
            <w:vAlign w:val="center"/>
          </w:tcPr>
          <w:p w14:paraId="7B84722B" w14:textId="77777777" w:rsidR="003A6558" w:rsidRPr="00EF60EA" w:rsidRDefault="003A6558" w:rsidP="00EB43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31CC725" w14:textId="77777777" w:rsidR="003A6558" w:rsidRPr="00EF60EA" w:rsidRDefault="003A6558" w:rsidP="00EB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Dīzeļdegviela (gāzeļļa/dīzeļeļļa)</w:t>
            </w:r>
          </w:p>
        </w:tc>
        <w:tc>
          <w:tcPr>
            <w:tcW w:w="2155" w:type="dxa"/>
          </w:tcPr>
          <w:p w14:paraId="2210A318" w14:textId="77777777" w:rsidR="003A6558" w:rsidRPr="00EF60EA" w:rsidRDefault="003A6558" w:rsidP="00E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418" w:type="dxa"/>
          </w:tcPr>
          <w:p w14:paraId="734DA296" w14:textId="77777777" w:rsidR="003A6558" w:rsidRPr="00EF60EA" w:rsidRDefault="003A6558" w:rsidP="00E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1559" w:type="dxa"/>
          </w:tcPr>
          <w:p w14:paraId="046350A7" w14:textId="77777777" w:rsidR="003A6558" w:rsidRPr="00EF60EA" w:rsidRDefault="003A6558" w:rsidP="00E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0,267</w:t>
            </w:r>
          </w:p>
        </w:tc>
      </w:tr>
      <w:tr w:rsidR="003A6558" w:rsidRPr="00F2672A" w14:paraId="5DFF5450" w14:textId="77777777" w:rsidTr="00345895">
        <w:tc>
          <w:tcPr>
            <w:tcW w:w="2240" w:type="dxa"/>
            <w:vMerge/>
            <w:vAlign w:val="center"/>
          </w:tcPr>
          <w:p w14:paraId="05500069" w14:textId="77777777" w:rsidR="003A6558" w:rsidRPr="00EF60EA" w:rsidRDefault="003A6558" w:rsidP="00EB43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92C7204" w14:textId="77777777" w:rsidR="003A6558" w:rsidRPr="00EF60EA" w:rsidRDefault="003A6558" w:rsidP="00EB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Mazuts (degvieleļļas)</w:t>
            </w:r>
          </w:p>
        </w:tc>
        <w:tc>
          <w:tcPr>
            <w:tcW w:w="2155" w:type="dxa"/>
          </w:tcPr>
          <w:p w14:paraId="691EF44B" w14:textId="77777777" w:rsidR="003A6558" w:rsidRPr="00EF60EA" w:rsidRDefault="003A6558" w:rsidP="00E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418" w:type="dxa"/>
          </w:tcPr>
          <w:p w14:paraId="638ED037" w14:textId="77777777" w:rsidR="003A6558" w:rsidRPr="00EF60EA" w:rsidRDefault="003A6558" w:rsidP="00E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1559" w:type="dxa"/>
          </w:tcPr>
          <w:p w14:paraId="78D6A831" w14:textId="77777777" w:rsidR="003A6558" w:rsidRPr="00EF60EA" w:rsidRDefault="003A6558" w:rsidP="00E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0,279</w:t>
            </w:r>
          </w:p>
        </w:tc>
      </w:tr>
      <w:tr w:rsidR="003A6558" w:rsidRPr="00F2672A" w14:paraId="4C0A6327" w14:textId="77777777" w:rsidTr="00345895">
        <w:tc>
          <w:tcPr>
            <w:tcW w:w="2240" w:type="dxa"/>
            <w:vMerge/>
            <w:vAlign w:val="center"/>
          </w:tcPr>
          <w:p w14:paraId="27526C49" w14:textId="77777777" w:rsidR="003A6558" w:rsidRPr="00EF60EA" w:rsidRDefault="003A6558" w:rsidP="00EB43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0110397" w14:textId="77777777" w:rsidR="003A6558" w:rsidRPr="00EF60EA" w:rsidRDefault="003A6558" w:rsidP="00EB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 xml:space="preserve">Sašķidrināta naftas gāze </w:t>
            </w:r>
          </w:p>
        </w:tc>
        <w:tc>
          <w:tcPr>
            <w:tcW w:w="2155" w:type="dxa"/>
          </w:tcPr>
          <w:p w14:paraId="47C36DE1" w14:textId="77777777" w:rsidR="003A6558" w:rsidRPr="00EF60EA" w:rsidRDefault="003A6558" w:rsidP="00E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  <w:tc>
          <w:tcPr>
            <w:tcW w:w="1418" w:type="dxa"/>
          </w:tcPr>
          <w:p w14:paraId="2F5B2928" w14:textId="77777777" w:rsidR="003A6558" w:rsidRPr="00EF60EA" w:rsidRDefault="003A6558" w:rsidP="00E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559" w:type="dxa"/>
          </w:tcPr>
          <w:p w14:paraId="5746A3E5" w14:textId="77777777" w:rsidR="003A6558" w:rsidRPr="00EF60EA" w:rsidRDefault="003A6558" w:rsidP="00E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0,227</w:t>
            </w:r>
          </w:p>
        </w:tc>
      </w:tr>
      <w:tr w:rsidR="003A6558" w:rsidRPr="00F2672A" w14:paraId="7B22C73B" w14:textId="77777777" w:rsidTr="00345895">
        <w:tc>
          <w:tcPr>
            <w:tcW w:w="2240" w:type="dxa"/>
            <w:vMerge/>
            <w:vAlign w:val="center"/>
          </w:tcPr>
          <w:p w14:paraId="458ABCA3" w14:textId="77777777" w:rsidR="003A6558" w:rsidRPr="00EF60EA" w:rsidRDefault="003A6558" w:rsidP="00EB43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673A183" w14:textId="77777777" w:rsidR="003A6558" w:rsidRPr="00EF60EA" w:rsidRDefault="003A6558" w:rsidP="00EB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Dabasgāze</w:t>
            </w:r>
          </w:p>
        </w:tc>
        <w:tc>
          <w:tcPr>
            <w:tcW w:w="2155" w:type="dxa"/>
          </w:tcPr>
          <w:p w14:paraId="4D0818CC" w14:textId="77777777" w:rsidR="003A6558" w:rsidRPr="00EF60EA" w:rsidRDefault="003A6558" w:rsidP="00345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  <w:r w:rsidR="00345895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418" w:type="dxa"/>
          </w:tcPr>
          <w:p w14:paraId="4AAC2DD7" w14:textId="77777777" w:rsidR="003A6558" w:rsidRPr="00EF60EA" w:rsidRDefault="003A6558" w:rsidP="00E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1559" w:type="dxa"/>
          </w:tcPr>
          <w:p w14:paraId="4A6761E1" w14:textId="77777777" w:rsidR="003A6558" w:rsidRPr="00EF60EA" w:rsidRDefault="003A6558" w:rsidP="00E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0,202</w:t>
            </w:r>
          </w:p>
        </w:tc>
      </w:tr>
      <w:tr w:rsidR="003A6558" w:rsidRPr="00F2672A" w14:paraId="3F275EA9" w14:textId="77777777" w:rsidTr="00345895">
        <w:tc>
          <w:tcPr>
            <w:tcW w:w="2240" w:type="dxa"/>
            <w:vMerge/>
            <w:vAlign w:val="center"/>
          </w:tcPr>
          <w:p w14:paraId="0042221E" w14:textId="77777777" w:rsidR="003A6558" w:rsidRPr="00EF60EA" w:rsidRDefault="003A6558" w:rsidP="00EB43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42379CC" w14:textId="77777777" w:rsidR="003A6558" w:rsidRPr="00EF60EA" w:rsidRDefault="003A6558" w:rsidP="00EB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Koksne</w:t>
            </w:r>
          </w:p>
        </w:tc>
        <w:tc>
          <w:tcPr>
            <w:tcW w:w="2155" w:type="dxa"/>
          </w:tcPr>
          <w:p w14:paraId="6004309F" w14:textId="77777777" w:rsidR="003A6558" w:rsidRPr="00EF60EA" w:rsidRDefault="003A6558" w:rsidP="00E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418" w:type="dxa"/>
          </w:tcPr>
          <w:p w14:paraId="1BCA1DBD" w14:textId="77777777" w:rsidR="003A6558" w:rsidRPr="00EF60EA" w:rsidRDefault="003A6558" w:rsidP="00E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33E3A46B" w14:textId="77777777" w:rsidR="003A6558" w:rsidRPr="00EF60EA" w:rsidRDefault="003A6558" w:rsidP="00E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6558" w:rsidRPr="00F2672A" w14:paraId="46AA8E71" w14:textId="77777777" w:rsidTr="00345895">
        <w:tc>
          <w:tcPr>
            <w:tcW w:w="2240" w:type="dxa"/>
            <w:vMerge/>
            <w:vAlign w:val="center"/>
          </w:tcPr>
          <w:p w14:paraId="64673F4D" w14:textId="77777777" w:rsidR="003A6558" w:rsidRPr="00EF60EA" w:rsidRDefault="003A6558" w:rsidP="00EB43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7F458DE" w14:textId="77777777" w:rsidR="003A6558" w:rsidRPr="00EF60EA" w:rsidRDefault="003A6558" w:rsidP="00EB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Citi kurināmie*</w:t>
            </w:r>
          </w:p>
        </w:tc>
        <w:tc>
          <w:tcPr>
            <w:tcW w:w="2155" w:type="dxa"/>
          </w:tcPr>
          <w:p w14:paraId="24022C12" w14:textId="77777777" w:rsidR="003A6558" w:rsidRPr="00EF60EA" w:rsidRDefault="003A6558" w:rsidP="00E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26165D7" w14:textId="77777777" w:rsidR="003A6558" w:rsidRPr="00EF60EA" w:rsidRDefault="003A6558" w:rsidP="00E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8C9E87" w14:textId="77777777" w:rsidR="003A6558" w:rsidRPr="00EF60EA" w:rsidRDefault="003A6558" w:rsidP="00EB4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558" w:rsidRPr="00F2672A" w14:paraId="1CEB0FD1" w14:textId="77777777" w:rsidTr="00345895">
        <w:tc>
          <w:tcPr>
            <w:tcW w:w="2240" w:type="dxa"/>
          </w:tcPr>
          <w:p w14:paraId="1827571A" w14:textId="77777777" w:rsidR="003A6558" w:rsidRPr="00EF60EA" w:rsidRDefault="00354C84" w:rsidP="00354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Elektroenerģija</w:t>
            </w:r>
            <w:r w:rsidR="00581C75" w:rsidRPr="00EF60EA">
              <w:rPr>
                <w:rFonts w:ascii="Times New Roman" w:hAnsi="Times New Roman" w:cs="Times New Roman"/>
                <w:sz w:val="24"/>
                <w:szCs w:val="24"/>
              </w:rPr>
              <w:t xml:space="preserve"> no elektrotīkla</w:t>
            </w:r>
          </w:p>
        </w:tc>
        <w:tc>
          <w:tcPr>
            <w:tcW w:w="2126" w:type="dxa"/>
          </w:tcPr>
          <w:p w14:paraId="38452FF3" w14:textId="77777777" w:rsidR="003A6558" w:rsidRPr="00EF60EA" w:rsidRDefault="00723AA6" w:rsidP="00DF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5" w:type="dxa"/>
          </w:tcPr>
          <w:p w14:paraId="514D5D42" w14:textId="77777777" w:rsidR="003A6558" w:rsidRPr="00EF60EA" w:rsidRDefault="00723AA6" w:rsidP="0072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1FFFA0F8" w14:textId="77777777" w:rsidR="003A6558" w:rsidRPr="00EF60EA" w:rsidRDefault="00723AA6" w:rsidP="00257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2CCF0477" w14:textId="3B8857CB" w:rsidR="003A6558" w:rsidRPr="00EF60EA" w:rsidRDefault="00354C84" w:rsidP="00885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 xml:space="preserve">atbilstoši šī pielikuma </w:t>
            </w:r>
            <w:r w:rsidR="001349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81C75" w:rsidRPr="00EF60EA">
              <w:rPr>
                <w:rFonts w:ascii="Times New Roman" w:hAnsi="Times New Roman" w:cs="Times New Roman"/>
                <w:sz w:val="24"/>
                <w:szCs w:val="24"/>
              </w:rPr>
              <w:t>.punktam</w:t>
            </w:r>
          </w:p>
        </w:tc>
      </w:tr>
      <w:tr w:rsidR="00354C84" w:rsidRPr="00F2672A" w14:paraId="506F4A5C" w14:textId="77777777" w:rsidTr="00345895">
        <w:tc>
          <w:tcPr>
            <w:tcW w:w="2240" w:type="dxa"/>
          </w:tcPr>
          <w:p w14:paraId="00CA7C74" w14:textId="77777777" w:rsidR="00354C84" w:rsidRPr="00EF60EA" w:rsidRDefault="00354C84" w:rsidP="00B7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Siltumenerģija no siltumapgādes sistēmas</w:t>
            </w:r>
          </w:p>
        </w:tc>
        <w:tc>
          <w:tcPr>
            <w:tcW w:w="2126" w:type="dxa"/>
          </w:tcPr>
          <w:p w14:paraId="7315121A" w14:textId="77777777" w:rsidR="00354C84" w:rsidRPr="00EF60EA" w:rsidRDefault="00723AA6" w:rsidP="00DF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5" w:type="dxa"/>
          </w:tcPr>
          <w:p w14:paraId="0A6476D8" w14:textId="77777777" w:rsidR="00354C84" w:rsidRPr="00EF60EA" w:rsidRDefault="00723AA6" w:rsidP="0072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4B30042D" w14:textId="77777777" w:rsidR="00354C84" w:rsidRPr="00EF60EA" w:rsidRDefault="00723AA6" w:rsidP="00257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0C1D05AC" w14:textId="77777777" w:rsidR="00354C84" w:rsidRPr="00EF60EA" w:rsidRDefault="00354C84" w:rsidP="00885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 xml:space="preserve">atbilstoši šī pielikuma </w:t>
            </w:r>
            <w:r w:rsidR="00885C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1C75" w:rsidRPr="00EF60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34977">
              <w:rPr>
                <w:rFonts w:ascii="Times New Roman" w:hAnsi="Times New Roman" w:cs="Times New Roman"/>
                <w:sz w:val="24"/>
                <w:szCs w:val="24"/>
              </w:rPr>
              <w:t xml:space="preserve"> un 5.</w:t>
            </w:r>
            <w:r w:rsidR="00581C75" w:rsidRPr="00EF60EA">
              <w:rPr>
                <w:rFonts w:ascii="Times New Roman" w:hAnsi="Times New Roman" w:cs="Times New Roman"/>
                <w:sz w:val="24"/>
                <w:szCs w:val="24"/>
              </w:rPr>
              <w:t> punktam</w:t>
            </w:r>
          </w:p>
        </w:tc>
      </w:tr>
      <w:tr w:rsidR="00354C84" w:rsidRPr="00F2672A" w14:paraId="14C13909" w14:textId="77777777" w:rsidTr="00345895">
        <w:tc>
          <w:tcPr>
            <w:tcW w:w="2240" w:type="dxa"/>
          </w:tcPr>
          <w:p w14:paraId="58849213" w14:textId="77777777" w:rsidR="00354C84" w:rsidRPr="00EF60EA" w:rsidRDefault="00354C84" w:rsidP="00345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Enerģija no atjaunojamajiem energoresursiem</w:t>
            </w:r>
            <w:r w:rsidR="00345895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126" w:type="dxa"/>
          </w:tcPr>
          <w:p w14:paraId="70E4B6E5" w14:textId="77777777" w:rsidR="00354C84" w:rsidRPr="00EF60EA" w:rsidRDefault="00723AA6" w:rsidP="00DF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5" w:type="dxa"/>
          </w:tcPr>
          <w:p w14:paraId="114960C9" w14:textId="77777777" w:rsidR="00354C84" w:rsidRPr="00EF60EA" w:rsidRDefault="00723AA6" w:rsidP="00723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4712C095" w14:textId="77777777" w:rsidR="00354C84" w:rsidRPr="00EF60EA" w:rsidRDefault="00723AA6" w:rsidP="00257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3572EB7F" w14:textId="77777777" w:rsidR="00354C84" w:rsidRPr="00EF60EA" w:rsidRDefault="00354C84" w:rsidP="00354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53B5D633" w14:textId="51E3B1C2" w:rsidR="00A74BFB" w:rsidRPr="00764196" w:rsidRDefault="00A74BFB" w:rsidP="00EB4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6B0C">
        <w:rPr>
          <w:rFonts w:ascii="Times New Roman" w:hAnsi="Times New Roman" w:cs="Times New Roman"/>
          <w:sz w:val="24"/>
          <w:szCs w:val="24"/>
          <w:shd w:val="clear" w:color="auto" w:fill="FFFFFF"/>
        </w:rPr>
        <w:t>Piezīme. *</w:t>
      </w:r>
      <w:r w:rsidR="0002399E" w:rsidRPr="00696B0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96B0C">
        <w:rPr>
          <w:rFonts w:ascii="Times New Roman" w:hAnsi="Times New Roman" w:cs="Times New Roman"/>
          <w:sz w:val="24"/>
          <w:szCs w:val="24"/>
          <w:shd w:val="clear" w:color="auto" w:fill="FFFFFF"/>
        </w:rPr>
        <w:t>Sas</w:t>
      </w:r>
      <w:r w:rsidR="006B3493" w:rsidRPr="00696B0C">
        <w:rPr>
          <w:rFonts w:ascii="Times New Roman" w:hAnsi="Times New Roman" w:cs="Times New Roman"/>
          <w:sz w:val="24"/>
          <w:szCs w:val="24"/>
          <w:shd w:val="clear" w:color="auto" w:fill="FFFFFF"/>
        </w:rPr>
        <w:t>kaņā ar Eiropas Komisijas 2012. </w:t>
      </w:r>
      <w:r w:rsidRPr="00696B0C">
        <w:rPr>
          <w:rFonts w:ascii="Times New Roman" w:hAnsi="Times New Roman" w:cs="Times New Roman"/>
          <w:sz w:val="24"/>
          <w:szCs w:val="24"/>
          <w:shd w:val="clear" w:color="auto" w:fill="FFFFFF"/>
        </w:rPr>
        <w:t>gada 21.</w:t>
      </w:r>
      <w:r w:rsidR="006B3493" w:rsidRPr="00696B0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96B0C">
        <w:rPr>
          <w:rFonts w:ascii="Times New Roman" w:hAnsi="Times New Roman" w:cs="Times New Roman"/>
          <w:sz w:val="24"/>
          <w:szCs w:val="24"/>
          <w:shd w:val="clear" w:color="auto" w:fill="FFFFFF"/>
        </w:rPr>
        <w:t>jūnija Regulas Nr.</w:t>
      </w:r>
      <w:r w:rsidRPr="00696B0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1" w:tgtFrame="_blank" w:history="1">
        <w:r w:rsidRPr="00696B0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601/2012</w:t>
        </w:r>
      </w:hyperlink>
      <w:r w:rsidRPr="00696B0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96B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par siltumnīcefekta gāzu emisiju monitoringu un ziņošanu saskaņā ar Eiropas Parlamenta un </w:t>
      </w:r>
      <w:r w:rsidR="0034443E">
        <w:rPr>
          <w:rFonts w:ascii="Times New Roman" w:hAnsi="Times New Roman" w:cs="Times New Roman"/>
          <w:sz w:val="24"/>
          <w:szCs w:val="24"/>
          <w:shd w:val="clear" w:color="auto" w:fill="FFFFFF"/>
        </w:rPr>
        <w:t>Padomes Direktīvas</w:t>
      </w:r>
      <w:r w:rsidRPr="0076419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2" w:tgtFrame="_blank" w:history="1">
        <w:r w:rsidRPr="0076419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2003/87/EK</w:t>
        </w:r>
      </w:hyperlink>
      <w:r w:rsidRPr="0076419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64196">
        <w:rPr>
          <w:rFonts w:ascii="Times New Roman" w:hAnsi="Times New Roman" w:cs="Times New Roman"/>
          <w:sz w:val="24"/>
          <w:szCs w:val="24"/>
          <w:shd w:val="clear" w:color="auto" w:fill="FFFFFF"/>
        </w:rPr>
        <w:t>VI pielikumu.</w:t>
      </w:r>
    </w:p>
    <w:p w14:paraId="01E74AC2" w14:textId="77777777" w:rsidR="00345895" w:rsidRPr="00764196" w:rsidRDefault="00345895" w:rsidP="00EB4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196">
        <w:rPr>
          <w:rFonts w:ascii="Times New Roman" w:hAnsi="Times New Roman" w:cs="Times New Roman"/>
          <w:sz w:val="24"/>
          <w:szCs w:val="24"/>
          <w:shd w:val="clear" w:color="auto" w:fill="FFFFFF"/>
        </w:rPr>
        <w:t>**</w:t>
      </w:r>
      <w:r w:rsidRPr="00764196">
        <w:rPr>
          <w:rFonts w:ascii="Times New Roman" w:hAnsi="Times New Roman" w:cs="Times New Roman"/>
          <w:sz w:val="24"/>
          <w:szCs w:val="24"/>
        </w:rPr>
        <w:t xml:space="preserve"> Zemākais sadegšanas siltums dabasgāzei MJ/m</w:t>
      </w:r>
      <w:r w:rsidRPr="0076419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64196">
        <w:rPr>
          <w:rFonts w:ascii="Times New Roman" w:hAnsi="Times New Roman" w:cs="Times New Roman"/>
          <w:sz w:val="24"/>
          <w:szCs w:val="24"/>
        </w:rPr>
        <w:t>.</w:t>
      </w:r>
    </w:p>
    <w:p w14:paraId="212B9AFE" w14:textId="77777777" w:rsidR="00345895" w:rsidRPr="00764196" w:rsidRDefault="00345895" w:rsidP="00EB4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196">
        <w:rPr>
          <w:rFonts w:ascii="Times New Roman" w:hAnsi="Times New Roman" w:cs="Times New Roman"/>
          <w:sz w:val="24"/>
          <w:szCs w:val="24"/>
        </w:rPr>
        <w:t xml:space="preserve">*** Vēja, saules, ģeotermālā, viļņu, paisuma un bēguma, ūdens enerģija, kā arī </w:t>
      </w:r>
      <w:proofErr w:type="spellStart"/>
      <w:r w:rsidRPr="00764196">
        <w:rPr>
          <w:rFonts w:ascii="Times New Roman" w:hAnsi="Times New Roman" w:cs="Times New Roman"/>
          <w:sz w:val="24"/>
          <w:szCs w:val="24"/>
        </w:rPr>
        <w:t>aerotermālā</w:t>
      </w:r>
      <w:proofErr w:type="spellEnd"/>
      <w:r w:rsidRPr="00764196">
        <w:rPr>
          <w:rFonts w:ascii="Times New Roman" w:hAnsi="Times New Roman" w:cs="Times New Roman"/>
          <w:sz w:val="24"/>
          <w:szCs w:val="24"/>
        </w:rPr>
        <w:t xml:space="preserve"> enerģija (siltumenerģija, kura uzkrājas gaisā), ģeotermālā enerģija (siltumenerģija, kura atrodas zem cietzemes virsmas) un </w:t>
      </w:r>
      <w:proofErr w:type="spellStart"/>
      <w:r w:rsidRPr="00764196">
        <w:rPr>
          <w:rFonts w:ascii="Times New Roman" w:hAnsi="Times New Roman" w:cs="Times New Roman"/>
          <w:sz w:val="24"/>
          <w:szCs w:val="24"/>
        </w:rPr>
        <w:t>hidrotermālā</w:t>
      </w:r>
      <w:proofErr w:type="spellEnd"/>
      <w:r w:rsidRPr="00764196">
        <w:rPr>
          <w:rFonts w:ascii="Times New Roman" w:hAnsi="Times New Roman" w:cs="Times New Roman"/>
          <w:sz w:val="24"/>
          <w:szCs w:val="24"/>
        </w:rPr>
        <w:t xml:space="preserve"> enerģija (siltumenerģija, kura atrodas virszemes ūdeņos), atkritumu poligonu un notekūdeņu attīrīšanas iekārtu gāzes, biogāze un biomasa.</w:t>
      </w:r>
    </w:p>
    <w:p w14:paraId="20E5C3B1" w14:textId="77777777" w:rsidR="00142CA5" w:rsidRPr="00EB4349" w:rsidRDefault="00142CA5" w:rsidP="00EB43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91175F" w14:textId="6DB44C05" w:rsidR="00F67382" w:rsidRPr="00EB4349" w:rsidRDefault="00581C75" w:rsidP="00EB43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67382" w:rsidRPr="00EB4349">
        <w:rPr>
          <w:rFonts w:ascii="Times New Roman" w:hAnsi="Times New Roman" w:cs="Times New Roman"/>
          <w:sz w:val="28"/>
          <w:szCs w:val="28"/>
        </w:rPr>
        <w:t>. CO</w:t>
      </w:r>
      <w:r w:rsidR="00F67382" w:rsidRPr="00EB43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957DA" w:rsidRPr="00EB4349">
        <w:rPr>
          <w:rFonts w:ascii="Times New Roman" w:hAnsi="Times New Roman" w:cs="Times New Roman"/>
          <w:sz w:val="28"/>
          <w:szCs w:val="28"/>
        </w:rPr>
        <w:t xml:space="preserve"> emisijas faktoru</w:t>
      </w:r>
      <w:r w:rsidR="00F67382" w:rsidRPr="00EB4349">
        <w:rPr>
          <w:rFonts w:ascii="Times New Roman" w:hAnsi="Times New Roman" w:cs="Times New Roman"/>
          <w:sz w:val="28"/>
          <w:szCs w:val="28"/>
        </w:rPr>
        <w:t xml:space="preserve"> siltumenerģijai </w:t>
      </w:r>
      <w:r w:rsidR="007957DA" w:rsidRPr="00EB4349">
        <w:rPr>
          <w:rFonts w:ascii="Times New Roman" w:hAnsi="Times New Roman" w:cs="Times New Roman"/>
          <w:sz w:val="28"/>
          <w:szCs w:val="28"/>
        </w:rPr>
        <w:t xml:space="preserve">šo </w:t>
      </w:r>
      <w:r w:rsidR="007957DA" w:rsidRPr="00F2672A">
        <w:rPr>
          <w:rFonts w:ascii="Times New Roman" w:hAnsi="Times New Roman" w:cs="Times New Roman"/>
          <w:sz w:val="28"/>
          <w:szCs w:val="28"/>
        </w:rPr>
        <w:t xml:space="preserve">noteikumu </w:t>
      </w:r>
      <w:r w:rsidR="008351EB">
        <w:rPr>
          <w:rFonts w:ascii="Times New Roman" w:hAnsi="Times New Roman" w:cs="Times New Roman"/>
          <w:sz w:val="28"/>
          <w:szCs w:val="28"/>
        </w:rPr>
        <w:t>11</w:t>
      </w:r>
      <w:r w:rsidR="00A77C96" w:rsidRPr="00EF60EA">
        <w:rPr>
          <w:rFonts w:ascii="Times New Roman" w:hAnsi="Times New Roman" w:cs="Times New Roman"/>
          <w:sz w:val="28"/>
          <w:szCs w:val="28"/>
        </w:rPr>
        <w:t xml:space="preserve">.1. un </w:t>
      </w:r>
      <w:r w:rsidR="008351EB">
        <w:rPr>
          <w:rFonts w:ascii="Times New Roman" w:hAnsi="Times New Roman" w:cs="Times New Roman"/>
          <w:sz w:val="28"/>
          <w:szCs w:val="28"/>
        </w:rPr>
        <w:t>11</w:t>
      </w:r>
      <w:r w:rsidR="00FE0C78" w:rsidRPr="00EF60EA">
        <w:rPr>
          <w:rFonts w:ascii="Times New Roman" w:hAnsi="Times New Roman" w:cs="Times New Roman"/>
          <w:sz w:val="28"/>
          <w:szCs w:val="28"/>
        </w:rPr>
        <w:t>.2</w:t>
      </w:r>
      <w:r w:rsidR="00797893" w:rsidRPr="00EF60EA">
        <w:rPr>
          <w:rFonts w:ascii="Times New Roman" w:hAnsi="Times New Roman" w:cs="Times New Roman"/>
          <w:sz w:val="28"/>
          <w:szCs w:val="28"/>
        </w:rPr>
        <w:t>.</w:t>
      </w:r>
      <w:r w:rsidR="00A77C96" w:rsidRPr="00EF60EA">
        <w:rPr>
          <w:rFonts w:ascii="Times New Roman" w:hAnsi="Times New Roman" w:cs="Times New Roman"/>
          <w:sz w:val="28"/>
          <w:szCs w:val="28"/>
        </w:rPr>
        <w:t> </w:t>
      </w:r>
      <w:r w:rsidR="00797893" w:rsidRPr="00EF60EA">
        <w:rPr>
          <w:rFonts w:ascii="Times New Roman" w:hAnsi="Times New Roman" w:cs="Times New Roman"/>
          <w:sz w:val="28"/>
          <w:szCs w:val="28"/>
        </w:rPr>
        <w:t>apakšpunktā</w:t>
      </w:r>
      <w:r w:rsidR="005F4688" w:rsidRPr="00F2672A">
        <w:rPr>
          <w:rFonts w:ascii="Times New Roman" w:hAnsi="Times New Roman" w:cs="Times New Roman"/>
          <w:sz w:val="28"/>
          <w:szCs w:val="28"/>
        </w:rPr>
        <w:t xml:space="preserve"> minētajā gadījumā</w:t>
      </w:r>
      <w:r w:rsidR="00F67382" w:rsidRPr="00F2672A">
        <w:rPr>
          <w:rFonts w:ascii="Times New Roman" w:hAnsi="Times New Roman" w:cs="Times New Roman"/>
          <w:sz w:val="28"/>
          <w:szCs w:val="28"/>
        </w:rPr>
        <w:t xml:space="preserve">, </w:t>
      </w:r>
      <w:r w:rsidR="007957DA" w:rsidRPr="00885C1D">
        <w:rPr>
          <w:rFonts w:ascii="Times New Roman" w:hAnsi="Times New Roman" w:cs="Times New Roman"/>
          <w:sz w:val="28"/>
          <w:szCs w:val="28"/>
        </w:rPr>
        <w:t xml:space="preserve">aprēķina </w:t>
      </w:r>
      <w:r w:rsidR="00646917" w:rsidRPr="00AC6FFD">
        <w:rPr>
          <w:rFonts w:ascii="Times New Roman" w:hAnsi="Times New Roman"/>
          <w:sz w:val="28"/>
        </w:rPr>
        <w:t>centralizētās siltumapgādes</w:t>
      </w:r>
      <w:r w:rsidR="00646917" w:rsidRPr="00DD1C7B">
        <w:rPr>
          <w:rFonts w:ascii="Times New Roman" w:hAnsi="Times New Roman"/>
          <w:sz w:val="28"/>
        </w:rPr>
        <w:t xml:space="preserve"> sistēmas operators, lokālas siltumapgādes sistēmas operators vai individuālās siltumapgādes sistēmas lietot</w:t>
      </w:r>
      <w:r w:rsidR="007957DA" w:rsidRPr="00F573E2">
        <w:rPr>
          <w:rFonts w:ascii="Times New Roman" w:hAnsi="Times New Roman" w:cs="Times New Roman"/>
          <w:sz w:val="28"/>
          <w:szCs w:val="28"/>
        </w:rPr>
        <w:t>ājs</w:t>
      </w:r>
      <w:r w:rsidR="007957DA" w:rsidRPr="00EB4349">
        <w:rPr>
          <w:rFonts w:ascii="Times New Roman" w:hAnsi="Times New Roman" w:cs="Times New Roman"/>
          <w:sz w:val="28"/>
          <w:szCs w:val="28"/>
        </w:rPr>
        <w:t xml:space="preserve"> </w:t>
      </w:r>
      <w:r w:rsidR="00F67382" w:rsidRPr="00EB4349">
        <w:rPr>
          <w:rFonts w:ascii="Times New Roman" w:hAnsi="Times New Roman" w:cs="Times New Roman"/>
          <w:sz w:val="28"/>
          <w:szCs w:val="28"/>
        </w:rPr>
        <w:t>pēc šādas formulas:</w:t>
      </w:r>
    </w:p>
    <w:p w14:paraId="3E3A6896" w14:textId="77777777" w:rsidR="00F67382" w:rsidRPr="00EB4349" w:rsidRDefault="00F67382" w:rsidP="00EB43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Start w:id="0" w:name="OLE_LINK30"/>
    <w:p w14:paraId="61CB0A7F" w14:textId="77777777" w:rsidR="00F67382" w:rsidRPr="00EB4349" w:rsidRDefault="003C4790" w:rsidP="00EB43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sa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</w:rPr>
                                  <m:t>fos</m:t>
                                </m:r>
                              </m:sub>
                            </m:sSub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th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×F</m:t>
                    </m:r>
                  </m:e>
                </m:d>
              </m:e>
            </m:nary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sa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th</m:t>
                    </m:r>
                  </m:sub>
                </m:sSub>
              </m:sub>
            </m:sSub>
          </m:den>
        </m:f>
      </m:oMath>
      <w:r w:rsidR="00F67382" w:rsidRPr="00EB4349">
        <w:rPr>
          <w:rFonts w:ascii="Times New Roman" w:hAnsi="Times New Roman" w:cs="Times New Roman"/>
          <w:sz w:val="28"/>
          <w:szCs w:val="28"/>
        </w:rPr>
        <w:t>, kur</w:t>
      </w:r>
    </w:p>
    <w:p w14:paraId="455E9955" w14:textId="77777777" w:rsidR="00F67382" w:rsidRPr="00EB4349" w:rsidRDefault="00F67382" w:rsidP="00EB4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540CEA" w14:textId="1AD00E8D" w:rsidR="008351EB" w:rsidRDefault="003C4790" w:rsidP="00EB434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vertAlign w:val="subscript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q</m:t>
            </m:r>
          </m:sub>
        </m:sSub>
      </m:oMath>
      <w:r w:rsidR="008351E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8351EB" w:rsidRPr="008351EB">
        <w:rPr>
          <w:rFonts w:ascii="Times New Roman" w:hAnsi="Times New Roman" w:cs="Times New Roman"/>
          <w:sz w:val="28"/>
          <w:szCs w:val="28"/>
        </w:rPr>
        <w:t>– CO</w:t>
      </w:r>
      <w:r w:rsidR="008351EB" w:rsidRPr="008351E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351EB" w:rsidRPr="008351EB">
        <w:rPr>
          <w:rFonts w:ascii="Times New Roman" w:hAnsi="Times New Roman" w:cs="Times New Roman"/>
          <w:sz w:val="28"/>
          <w:szCs w:val="28"/>
        </w:rPr>
        <w:t xml:space="preserve"> emisijas faktors siltumenerģijai, ko aprēķina centralizētās siltumapgādes sistēmas operators,</w:t>
      </w:r>
      <w:r w:rsidR="008351E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8351EB">
        <w:rPr>
          <w:rFonts w:ascii="Times New Roman" w:hAnsi="Times New Roman" w:cs="Times New Roman"/>
          <w:sz w:val="28"/>
          <w:szCs w:val="28"/>
        </w:rPr>
        <w:t xml:space="preserve">lokālās siltumapgādes operators vai individuālās siltumapgādes sistēmas lietotājs, </w:t>
      </w:r>
      <w:r w:rsidR="008351EB" w:rsidRPr="00EB4349">
        <w:rPr>
          <w:rFonts w:ascii="Times New Roman" w:hAnsi="Times New Roman" w:cs="Times New Roman"/>
          <w:sz w:val="28"/>
          <w:szCs w:val="28"/>
        </w:rPr>
        <w:t>t CO</w:t>
      </w:r>
      <w:r w:rsidR="008351EB" w:rsidRPr="00EB43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351EB" w:rsidRPr="00EB434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8351EB" w:rsidRPr="00EB4349">
        <w:rPr>
          <w:rFonts w:ascii="Times New Roman" w:hAnsi="Times New Roman" w:cs="Times New Roman"/>
          <w:sz w:val="28"/>
          <w:szCs w:val="28"/>
        </w:rPr>
        <w:t>MWh</w:t>
      </w:r>
      <w:proofErr w:type="spellEnd"/>
      <w:r w:rsidR="008351EB">
        <w:rPr>
          <w:rFonts w:ascii="Times New Roman" w:hAnsi="Times New Roman" w:cs="Times New Roman"/>
          <w:sz w:val="28"/>
          <w:szCs w:val="28"/>
        </w:rPr>
        <w:t>;</w:t>
      </w:r>
    </w:p>
    <w:p w14:paraId="592D1AA2" w14:textId="77777777" w:rsidR="00F67382" w:rsidRPr="00EB4349" w:rsidRDefault="003C4790" w:rsidP="00EB434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sa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fos</m:t>
                    </m:r>
                  </m:sub>
                </m:sSub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th</m:t>
                </m:r>
              </m:sub>
            </m:sSub>
          </m:sub>
        </m:sSub>
      </m:oMath>
      <w:r w:rsidR="00F67382" w:rsidRPr="00EB4349">
        <w:rPr>
          <w:rFonts w:ascii="Times New Roman" w:hAnsi="Times New Roman" w:cs="Times New Roman"/>
          <w:sz w:val="28"/>
          <w:szCs w:val="28"/>
        </w:rPr>
        <w:t xml:space="preserve"> – siltumenerģijas apjoms, </w:t>
      </w:r>
      <w:r w:rsidR="00797893">
        <w:rPr>
          <w:rFonts w:ascii="Times New Roman" w:hAnsi="Times New Roman" w:cs="Times New Roman"/>
          <w:sz w:val="28"/>
          <w:szCs w:val="28"/>
        </w:rPr>
        <w:t xml:space="preserve">ko </w:t>
      </w:r>
      <w:r w:rsidR="00885C1D">
        <w:rPr>
          <w:rFonts w:ascii="Times New Roman" w:hAnsi="Times New Roman" w:cs="Times New Roman"/>
          <w:sz w:val="28"/>
          <w:szCs w:val="28"/>
        </w:rPr>
        <w:t xml:space="preserve">pēdējā </w:t>
      </w:r>
      <w:r w:rsidR="000123E8">
        <w:rPr>
          <w:rFonts w:ascii="Times New Roman" w:hAnsi="Times New Roman" w:cs="Times New Roman"/>
          <w:sz w:val="28"/>
          <w:szCs w:val="28"/>
        </w:rPr>
        <w:t xml:space="preserve">kalendārā gada laikā </w:t>
      </w:r>
      <w:r w:rsidR="00797893">
        <w:rPr>
          <w:rFonts w:ascii="Times New Roman" w:hAnsi="Times New Roman" w:cs="Times New Roman"/>
          <w:sz w:val="28"/>
          <w:szCs w:val="28"/>
        </w:rPr>
        <w:t>saražo</w:t>
      </w:r>
      <w:r w:rsidR="000123E8">
        <w:rPr>
          <w:rFonts w:ascii="Times New Roman" w:hAnsi="Times New Roman" w:cs="Times New Roman"/>
          <w:sz w:val="28"/>
          <w:szCs w:val="28"/>
        </w:rPr>
        <w:t>jis</w:t>
      </w:r>
      <w:r w:rsidR="00797893">
        <w:rPr>
          <w:rFonts w:ascii="Times New Roman" w:hAnsi="Times New Roman" w:cs="Times New Roman"/>
          <w:sz w:val="28"/>
          <w:szCs w:val="28"/>
        </w:rPr>
        <w:t xml:space="preserve"> </w:t>
      </w:r>
      <w:r w:rsidR="00797893" w:rsidRPr="00EB4349">
        <w:rPr>
          <w:rFonts w:ascii="Times New Roman" w:hAnsi="Times New Roman" w:cs="Times New Roman"/>
          <w:sz w:val="28"/>
          <w:szCs w:val="28"/>
        </w:rPr>
        <w:t>centralizētās siltumapgādes sistēmas operators, lokālas siltumapgādes sistēmas operators vai individuālās siltumapgādes sistēmas lietotājs</w:t>
      </w:r>
      <w:r w:rsidR="00F67382" w:rsidRPr="00EB4349">
        <w:rPr>
          <w:rFonts w:ascii="Times New Roman" w:hAnsi="Times New Roman" w:cs="Times New Roman"/>
          <w:sz w:val="28"/>
          <w:szCs w:val="28"/>
        </w:rPr>
        <w:t xml:space="preserve">, izmantojot fosilos energoresursus, </w:t>
      </w:r>
      <w:proofErr w:type="spellStart"/>
      <w:r w:rsidR="00F67382" w:rsidRPr="00EB4349">
        <w:rPr>
          <w:rFonts w:ascii="Times New Roman" w:hAnsi="Times New Roman" w:cs="Times New Roman"/>
          <w:sz w:val="28"/>
          <w:szCs w:val="28"/>
        </w:rPr>
        <w:t>MWh</w:t>
      </w:r>
      <w:proofErr w:type="spellEnd"/>
      <w:r w:rsidR="00F67382" w:rsidRPr="00EB4349">
        <w:rPr>
          <w:rFonts w:ascii="Times New Roman" w:hAnsi="Times New Roman" w:cs="Times New Roman"/>
          <w:sz w:val="28"/>
          <w:szCs w:val="28"/>
        </w:rPr>
        <w:t>;</w:t>
      </w:r>
    </w:p>
    <w:p w14:paraId="3263A101" w14:textId="77777777" w:rsidR="00F67382" w:rsidRPr="00EB4349" w:rsidRDefault="00797893" w:rsidP="00EB434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</m:oMath>
      <w:r w:rsidR="00F67382" w:rsidRPr="00EB4349">
        <w:rPr>
          <w:rFonts w:ascii="Times New Roman" w:hAnsi="Times New Roman" w:cs="Times New Roman"/>
          <w:sz w:val="28"/>
          <w:szCs w:val="28"/>
        </w:rPr>
        <w:t> – CO</w:t>
      </w:r>
      <w:r w:rsidR="00F67382" w:rsidRPr="00EB43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67382" w:rsidRPr="00EB4349">
        <w:rPr>
          <w:rFonts w:ascii="Times New Roman" w:hAnsi="Times New Roman" w:cs="Times New Roman"/>
          <w:sz w:val="28"/>
          <w:szCs w:val="28"/>
        </w:rPr>
        <w:t xml:space="preserve"> emisijas faktors</w:t>
      </w:r>
      <w:r w:rsidR="00EC70B2">
        <w:rPr>
          <w:rFonts w:ascii="Times New Roman" w:hAnsi="Times New Roman" w:cs="Times New Roman"/>
          <w:sz w:val="28"/>
          <w:szCs w:val="28"/>
        </w:rPr>
        <w:t xml:space="preserve"> izmantotaj</w:t>
      </w:r>
      <w:r w:rsidR="00D96282">
        <w:rPr>
          <w:rFonts w:ascii="Times New Roman" w:hAnsi="Times New Roman" w:cs="Times New Roman"/>
          <w:sz w:val="28"/>
          <w:szCs w:val="28"/>
        </w:rPr>
        <w:t>a</w:t>
      </w:r>
      <w:r w:rsidR="00EC70B2">
        <w:rPr>
          <w:rFonts w:ascii="Times New Roman" w:hAnsi="Times New Roman" w:cs="Times New Roman"/>
          <w:sz w:val="28"/>
          <w:szCs w:val="28"/>
        </w:rPr>
        <w:t xml:space="preserve">m </w:t>
      </w:r>
      <w:r w:rsidR="00D96282">
        <w:rPr>
          <w:rFonts w:ascii="Times New Roman" w:hAnsi="Times New Roman" w:cs="Times New Roman"/>
          <w:sz w:val="28"/>
          <w:szCs w:val="28"/>
        </w:rPr>
        <w:t>kurināmā veidam</w:t>
      </w:r>
      <w:r w:rsidR="00FE0C78">
        <w:rPr>
          <w:rFonts w:ascii="Times New Roman" w:hAnsi="Times New Roman" w:cs="Times New Roman"/>
          <w:sz w:val="28"/>
          <w:szCs w:val="28"/>
        </w:rPr>
        <w:t>, atbilstoši</w:t>
      </w:r>
      <w:r w:rsidR="00F67382" w:rsidRPr="00EB4349">
        <w:rPr>
          <w:rFonts w:ascii="Times New Roman" w:hAnsi="Times New Roman" w:cs="Times New Roman"/>
          <w:sz w:val="28"/>
          <w:szCs w:val="28"/>
        </w:rPr>
        <w:t xml:space="preserve"> </w:t>
      </w:r>
      <w:r w:rsidR="00FE0C78">
        <w:rPr>
          <w:rFonts w:ascii="Times New Roman" w:hAnsi="Times New Roman" w:cs="Times New Roman"/>
          <w:sz w:val="28"/>
          <w:szCs w:val="28"/>
        </w:rPr>
        <w:t>šī pielikuma</w:t>
      </w:r>
      <w:r w:rsidR="00F2672A">
        <w:rPr>
          <w:rFonts w:ascii="Times New Roman" w:hAnsi="Times New Roman" w:cs="Times New Roman"/>
          <w:sz w:val="28"/>
          <w:szCs w:val="28"/>
        </w:rPr>
        <w:t xml:space="preserve"> </w:t>
      </w:r>
      <w:r w:rsidR="00F67382" w:rsidRPr="00EB4349">
        <w:rPr>
          <w:rFonts w:ascii="Times New Roman" w:hAnsi="Times New Roman" w:cs="Times New Roman"/>
          <w:sz w:val="28"/>
          <w:szCs w:val="28"/>
        </w:rPr>
        <w:t>1. tabul</w:t>
      </w:r>
      <w:r w:rsidR="00D519B9">
        <w:rPr>
          <w:rFonts w:ascii="Times New Roman" w:hAnsi="Times New Roman" w:cs="Times New Roman"/>
          <w:sz w:val="28"/>
          <w:szCs w:val="28"/>
        </w:rPr>
        <w:t>ai</w:t>
      </w:r>
      <w:r w:rsidR="00F67382" w:rsidRPr="00EB4349">
        <w:rPr>
          <w:rFonts w:ascii="Times New Roman" w:hAnsi="Times New Roman" w:cs="Times New Roman"/>
          <w:sz w:val="28"/>
          <w:szCs w:val="28"/>
        </w:rPr>
        <w:t>, t CO</w:t>
      </w:r>
      <w:r w:rsidR="00F67382" w:rsidRPr="00EB43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67382" w:rsidRPr="00EB434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F67382" w:rsidRPr="00EB4349">
        <w:rPr>
          <w:rFonts w:ascii="Times New Roman" w:hAnsi="Times New Roman" w:cs="Times New Roman"/>
          <w:sz w:val="28"/>
          <w:szCs w:val="28"/>
        </w:rPr>
        <w:t>MWh</w:t>
      </w:r>
      <w:proofErr w:type="spellEnd"/>
      <w:r w:rsidR="00885C1D">
        <w:rPr>
          <w:rFonts w:ascii="Times New Roman" w:hAnsi="Times New Roman" w:cs="Times New Roman"/>
          <w:sz w:val="28"/>
          <w:szCs w:val="28"/>
        </w:rPr>
        <w:t xml:space="preserve">. Ja pēdējā kalendārā gada laikā </w:t>
      </w:r>
      <w:r w:rsidR="00885C1D" w:rsidRPr="00EB4349">
        <w:rPr>
          <w:rFonts w:ascii="Times New Roman" w:hAnsi="Times New Roman" w:cs="Times New Roman"/>
          <w:sz w:val="28"/>
          <w:szCs w:val="28"/>
        </w:rPr>
        <w:t>centralizētās siltumapgādes sistēmas operators, lokālas siltumapgādes sistēmas operators vai individuālās siltumapgādes sistēmas lietotājs</w:t>
      </w:r>
      <w:r w:rsidR="00885C1D">
        <w:rPr>
          <w:rFonts w:ascii="Times New Roman" w:hAnsi="Times New Roman" w:cs="Times New Roman"/>
          <w:sz w:val="28"/>
          <w:szCs w:val="28"/>
        </w:rPr>
        <w:t xml:space="preserve"> ir veicis pilnīgu fosilo energoresursu tehnoloģiju nomaiņu pret atjaunojamo energoresursu tehnoloģijām, tad </w:t>
      </w:r>
      <w:r w:rsidR="00885C1D" w:rsidRPr="00EB4349">
        <w:rPr>
          <w:rFonts w:ascii="Times New Roman" w:hAnsi="Times New Roman" w:cs="Times New Roman"/>
          <w:sz w:val="28"/>
          <w:szCs w:val="28"/>
        </w:rPr>
        <w:t>CO</w:t>
      </w:r>
      <w:r w:rsidR="00885C1D" w:rsidRPr="00EB43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85C1D">
        <w:rPr>
          <w:rFonts w:ascii="Times New Roman" w:hAnsi="Times New Roman" w:cs="Times New Roman"/>
          <w:sz w:val="28"/>
          <w:szCs w:val="28"/>
        </w:rPr>
        <w:t xml:space="preserve"> emisijas faktors</w:t>
      </w:r>
      <w:r w:rsidR="00885C1D" w:rsidRPr="00EB4349">
        <w:rPr>
          <w:rFonts w:ascii="Times New Roman" w:hAnsi="Times New Roman" w:cs="Times New Roman"/>
          <w:sz w:val="28"/>
          <w:szCs w:val="28"/>
        </w:rPr>
        <w:t xml:space="preserve"> siltumenerģijai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vertAlign w:val="subscript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q</m:t>
            </m:r>
          </m:sub>
        </m:sSub>
      </m:oMath>
      <w:r w:rsidR="00885C1D" w:rsidRPr="00EB4349">
        <w:rPr>
          <w:rFonts w:ascii="Times New Roman" w:hAnsi="Times New Roman" w:cs="Times New Roman"/>
          <w:sz w:val="28"/>
          <w:szCs w:val="28"/>
        </w:rPr>
        <w:t>)</w:t>
      </w:r>
      <w:r w:rsidR="00885C1D">
        <w:rPr>
          <w:rFonts w:ascii="Times New Roman" w:hAnsi="Times New Roman" w:cs="Times New Roman"/>
          <w:sz w:val="28"/>
          <w:szCs w:val="28"/>
        </w:rPr>
        <w:t xml:space="preserve"> ir “0”</w:t>
      </w:r>
      <w:r w:rsidR="00F67382" w:rsidRPr="00EB4349">
        <w:rPr>
          <w:rFonts w:ascii="Times New Roman" w:hAnsi="Times New Roman" w:cs="Times New Roman"/>
          <w:sz w:val="28"/>
          <w:szCs w:val="28"/>
        </w:rPr>
        <w:t>;</w:t>
      </w:r>
    </w:p>
    <w:p w14:paraId="33246946" w14:textId="77777777" w:rsidR="00F67382" w:rsidRPr="00EB4349" w:rsidRDefault="003C4790" w:rsidP="00EB434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sa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th</m:t>
                </m:r>
              </m:sub>
            </m:sSub>
          </m:sub>
        </m:sSub>
      </m:oMath>
      <w:r w:rsidR="00F67382" w:rsidRPr="00EB4349">
        <w:rPr>
          <w:rFonts w:ascii="Times New Roman" w:hAnsi="Times New Roman" w:cs="Times New Roman"/>
          <w:sz w:val="28"/>
          <w:szCs w:val="28"/>
        </w:rPr>
        <w:t> – </w:t>
      </w:r>
      <w:r w:rsidR="00D519B9">
        <w:rPr>
          <w:rFonts w:ascii="Times New Roman" w:hAnsi="Times New Roman" w:cs="Times New Roman"/>
          <w:sz w:val="28"/>
          <w:szCs w:val="28"/>
        </w:rPr>
        <w:t xml:space="preserve">kopējais </w:t>
      </w:r>
      <w:r w:rsidR="00D519B9" w:rsidRPr="00EB4349">
        <w:rPr>
          <w:rFonts w:ascii="Times New Roman" w:hAnsi="Times New Roman" w:cs="Times New Roman"/>
          <w:sz w:val="28"/>
          <w:szCs w:val="28"/>
        </w:rPr>
        <w:t xml:space="preserve">centralizētās </w:t>
      </w:r>
      <w:r w:rsidR="00D519B9">
        <w:rPr>
          <w:rFonts w:ascii="Times New Roman" w:hAnsi="Times New Roman" w:cs="Times New Roman"/>
          <w:sz w:val="28"/>
          <w:szCs w:val="28"/>
        </w:rPr>
        <w:t>siltumapgādes sistēmas operatora, lokālā</w:t>
      </w:r>
      <w:r w:rsidR="00D519B9" w:rsidRPr="00EB4349">
        <w:rPr>
          <w:rFonts w:ascii="Times New Roman" w:hAnsi="Times New Roman" w:cs="Times New Roman"/>
          <w:sz w:val="28"/>
          <w:szCs w:val="28"/>
        </w:rPr>
        <w:t xml:space="preserve">s </w:t>
      </w:r>
      <w:r w:rsidR="00D519B9">
        <w:rPr>
          <w:rFonts w:ascii="Times New Roman" w:hAnsi="Times New Roman" w:cs="Times New Roman"/>
          <w:sz w:val="28"/>
          <w:szCs w:val="28"/>
        </w:rPr>
        <w:t>siltumapgādes sistēmas operatora</w:t>
      </w:r>
      <w:r w:rsidR="00D519B9" w:rsidRPr="00EB4349">
        <w:rPr>
          <w:rFonts w:ascii="Times New Roman" w:hAnsi="Times New Roman" w:cs="Times New Roman"/>
          <w:sz w:val="28"/>
          <w:szCs w:val="28"/>
        </w:rPr>
        <w:t xml:space="preserve"> vai individuālās siltumapgādes sistēmas lietotāj</w:t>
      </w:r>
      <w:r w:rsidR="00D519B9">
        <w:rPr>
          <w:rFonts w:ascii="Times New Roman" w:hAnsi="Times New Roman" w:cs="Times New Roman"/>
          <w:sz w:val="28"/>
          <w:szCs w:val="28"/>
        </w:rPr>
        <w:t xml:space="preserve">a saražotais </w:t>
      </w:r>
      <w:r w:rsidR="00F67382" w:rsidRPr="00EB4349">
        <w:rPr>
          <w:rFonts w:ascii="Times New Roman" w:hAnsi="Times New Roman" w:cs="Times New Roman"/>
          <w:sz w:val="28"/>
          <w:szCs w:val="28"/>
        </w:rPr>
        <w:t xml:space="preserve">siltumenerģijas apjoms, </w:t>
      </w:r>
      <w:proofErr w:type="spellStart"/>
      <w:r w:rsidR="00F67382" w:rsidRPr="00EB4349">
        <w:rPr>
          <w:rFonts w:ascii="Times New Roman" w:hAnsi="Times New Roman" w:cs="Times New Roman"/>
          <w:sz w:val="28"/>
          <w:szCs w:val="28"/>
        </w:rPr>
        <w:t>MWh</w:t>
      </w:r>
      <w:proofErr w:type="spellEnd"/>
      <w:r w:rsidR="00F67382" w:rsidRPr="00EB4349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14:paraId="16E767F7" w14:textId="77777777" w:rsidR="00885C1D" w:rsidRPr="00EB4349" w:rsidRDefault="00885C1D" w:rsidP="00EB43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68C37C9" w14:textId="7AC2CF79" w:rsidR="007957DA" w:rsidRPr="00EB4349" w:rsidRDefault="00581C75" w:rsidP="00EB43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957DA" w:rsidRPr="00EB4349">
        <w:rPr>
          <w:rFonts w:ascii="Times New Roman" w:hAnsi="Times New Roman" w:cs="Times New Roman"/>
          <w:sz w:val="28"/>
          <w:szCs w:val="28"/>
        </w:rPr>
        <w:t>. Š</w:t>
      </w:r>
      <w:r w:rsidR="009A140D">
        <w:rPr>
          <w:rFonts w:ascii="Times New Roman" w:hAnsi="Times New Roman" w:cs="Times New Roman"/>
          <w:sz w:val="28"/>
          <w:szCs w:val="28"/>
        </w:rPr>
        <w:t>ā</w:t>
      </w:r>
      <w:r w:rsidR="007957DA" w:rsidRPr="00EB4349">
        <w:rPr>
          <w:rFonts w:ascii="Times New Roman" w:hAnsi="Times New Roman" w:cs="Times New Roman"/>
          <w:sz w:val="28"/>
          <w:szCs w:val="28"/>
        </w:rPr>
        <w:t xml:space="preserve"> pielikuma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957DA" w:rsidRPr="00EB4349">
        <w:rPr>
          <w:rFonts w:ascii="Times New Roman" w:hAnsi="Times New Roman" w:cs="Times New Roman"/>
          <w:sz w:val="28"/>
          <w:szCs w:val="28"/>
        </w:rPr>
        <w:t xml:space="preserve">. punktā minēto emisijas faktoru katru gadu aprēķina </w:t>
      </w:r>
      <w:r w:rsidR="009744EE" w:rsidRPr="00EB4349">
        <w:rPr>
          <w:rFonts w:ascii="Times New Roman" w:hAnsi="Times New Roman" w:cs="Times New Roman"/>
          <w:sz w:val="28"/>
          <w:szCs w:val="28"/>
        </w:rPr>
        <w:t>centralizētās s</w:t>
      </w:r>
      <w:r w:rsidR="000123E8">
        <w:rPr>
          <w:rFonts w:ascii="Times New Roman" w:hAnsi="Times New Roman" w:cs="Times New Roman"/>
          <w:sz w:val="28"/>
          <w:szCs w:val="28"/>
        </w:rPr>
        <w:t>iltumapgādes sistēmas operators un</w:t>
      </w:r>
      <w:r w:rsidR="009744EE" w:rsidRPr="00EB4349">
        <w:rPr>
          <w:rFonts w:ascii="Times New Roman" w:hAnsi="Times New Roman" w:cs="Times New Roman"/>
          <w:sz w:val="28"/>
          <w:szCs w:val="28"/>
        </w:rPr>
        <w:t xml:space="preserve"> lokālas siltumapgādes sistēmas operators</w:t>
      </w:r>
      <w:r w:rsidR="007957DA" w:rsidRPr="00EB4349">
        <w:rPr>
          <w:rFonts w:ascii="Times New Roman" w:hAnsi="Times New Roman" w:cs="Times New Roman"/>
          <w:sz w:val="28"/>
          <w:szCs w:val="28"/>
        </w:rPr>
        <w:t xml:space="preserve"> un publicē to savā tīmekļvietnē</w:t>
      </w:r>
      <w:r w:rsidR="009744EE" w:rsidRPr="00EB4349">
        <w:rPr>
          <w:rFonts w:ascii="Times New Roman" w:hAnsi="Times New Roman" w:cs="Times New Roman"/>
          <w:sz w:val="28"/>
          <w:szCs w:val="28"/>
        </w:rPr>
        <w:t xml:space="preserve"> vai</w:t>
      </w:r>
      <w:r w:rsidR="007018B7" w:rsidRPr="00EB4349">
        <w:rPr>
          <w:rFonts w:ascii="Times New Roman" w:hAnsi="Times New Roman" w:cs="Times New Roman"/>
          <w:sz w:val="28"/>
          <w:szCs w:val="28"/>
        </w:rPr>
        <w:t xml:space="preserve"> izsniedz to</w:t>
      </w:r>
      <w:r w:rsidR="009744EE" w:rsidRPr="00EB4349">
        <w:rPr>
          <w:rFonts w:ascii="Times New Roman" w:hAnsi="Times New Roman" w:cs="Times New Roman"/>
          <w:sz w:val="28"/>
          <w:szCs w:val="28"/>
        </w:rPr>
        <w:t xml:space="preserve"> pēc </w:t>
      </w:r>
      <w:r w:rsidR="007018B7" w:rsidRPr="00EB4349">
        <w:rPr>
          <w:rFonts w:ascii="Times New Roman" w:hAnsi="Times New Roman" w:cs="Times New Roman"/>
          <w:sz w:val="28"/>
          <w:szCs w:val="28"/>
        </w:rPr>
        <w:t>siltumenerģijas lietotāja pieprasījuma</w:t>
      </w:r>
      <w:r w:rsidR="007957DA" w:rsidRPr="00EB4349">
        <w:rPr>
          <w:rFonts w:ascii="Times New Roman" w:hAnsi="Times New Roman" w:cs="Times New Roman"/>
          <w:sz w:val="28"/>
          <w:szCs w:val="28"/>
        </w:rPr>
        <w:t>.</w:t>
      </w:r>
    </w:p>
    <w:p w14:paraId="0C44F7AF" w14:textId="77777777" w:rsidR="007957DA" w:rsidRPr="00EB4349" w:rsidRDefault="007957DA" w:rsidP="00EB4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DEA9FF" w14:textId="0EF3CEDF" w:rsidR="00A74BFB" w:rsidRPr="00EB4349" w:rsidRDefault="00581C75" w:rsidP="00EB43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74BFB" w:rsidRPr="00EB4349">
        <w:rPr>
          <w:rFonts w:ascii="Times New Roman" w:hAnsi="Times New Roman" w:cs="Times New Roman"/>
          <w:sz w:val="28"/>
          <w:szCs w:val="28"/>
        </w:rPr>
        <w:t>. </w:t>
      </w:r>
      <w:r w:rsidR="00FC68BE" w:rsidRPr="00EB4349">
        <w:rPr>
          <w:rFonts w:ascii="Times New Roman" w:hAnsi="Times New Roman" w:cs="Times New Roman"/>
          <w:sz w:val="28"/>
          <w:szCs w:val="28"/>
        </w:rPr>
        <w:t>CO</w:t>
      </w:r>
      <w:r w:rsidR="00FC68BE" w:rsidRPr="00EB43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C68BE" w:rsidRPr="00EB4349">
        <w:rPr>
          <w:rFonts w:ascii="Times New Roman" w:hAnsi="Times New Roman" w:cs="Times New Roman"/>
          <w:sz w:val="28"/>
          <w:szCs w:val="28"/>
        </w:rPr>
        <w:t xml:space="preserve"> emisijas faktor</w:t>
      </w:r>
      <w:r w:rsidR="009A140D">
        <w:rPr>
          <w:rFonts w:ascii="Times New Roman" w:hAnsi="Times New Roman" w:cs="Times New Roman"/>
          <w:sz w:val="28"/>
          <w:szCs w:val="28"/>
        </w:rPr>
        <w:t>u</w:t>
      </w:r>
      <w:r w:rsidR="00DF480B">
        <w:rPr>
          <w:rFonts w:ascii="Times New Roman" w:hAnsi="Times New Roman" w:cs="Times New Roman"/>
          <w:sz w:val="28"/>
          <w:szCs w:val="28"/>
        </w:rPr>
        <w:t xml:space="preserve"> </w:t>
      </w:r>
      <w:r w:rsidR="009A140D">
        <w:rPr>
          <w:rFonts w:ascii="Times New Roman" w:hAnsi="Times New Roman" w:cs="Times New Roman"/>
          <w:sz w:val="28"/>
          <w:szCs w:val="28"/>
        </w:rPr>
        <w:t>Latvijā ražotai</w:t>
      </w:r>
      <w:r w:rsidR="000D4D35" w:rsidRPr="00EB4349">
        <w:rPr>
          <w:rFonts w:ascii="Times New Roman" w:hAnsi="Times New Roman" w:cs="Times New Roman"/>
          <w:sz w:val="28"/>
          <w:szCs w:val="28"/>
        </w:rPr>
        <w:t xml:space="preserve"> elektroenerģijai</w:t>
      </w:r>
      <w:r w:rsidR="00DF480B">
        <w:rPr>
          <w:rFonts w:ascii="Times New Roman" w:hAnsi="Times New Roman" w:cs="Times New Roman"/>
          <w:sz w:val="28"/>
          <w:szCs w:val="28"/>
        </w:rPr>
        <w:t xml:space="preserve"> </w:t>
      </w:r>
      <w:r w:rsidR="009805C3" w:rsidRPr="00EB4349">
        <w:rPr>
          <w:rFonts w:ascii="Times New Roman" w:hAnsi="Times New Roman" w:cs="Times New Roman"/>
          <w:sz w:val="28"/>
          <w:szCs w:val="28"/>
        </w:rPr>
        <w:t>aprēķin</w:t>
      </w:r>
      <w:r w:rsidR="009A140D">
        <w:rPr>
          <w:rFonts w:ascii="Times New Roman" w:hAnsi="Times New Roman" w:cs="Times New Roman"/>
          <w:sz w:val="28"/>
          <w:szCs w:val="28"/>
        </w:rPr>
        <w:t xml:space="preserve">a </w:t>
      </w:r>
      <w:r w:rsidR="00E9207F" w:rsidRPr="00EB4349">
        <w:rPr>
          <w:rFonts w:ascii="Times New Roman" w:hAnsi="Times New Roman" w:cs="Times New Roman"/>
          <w:sz w:val="28"/>
          <w:szCs w:val="28"/>
        </w:rPr>
        <w:t>pēc šādas formulas:</w:t>
      </w:r>
    </w:p>
    <w:p w14:paraId="152C8909" w14:textId="77777777" w:rsidR="00583CDE" w:rsidRPr="00EB4349" w:rsidRDefault="00583CDE" w:rsidP="00EB4349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91D93C" w14:textId="77777777" w:rsidR="00583CDE" w:rsidRPr="00EB4349" w:rsidRDefault="003C4790" w:rsidP="00EB43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el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sa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8"/>
                                        <w:szCs w:val="28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28"/>
                                        <w:szCs w:val="28"/>
                                      </w:rPr>
                                      <m:t>fos</m:t>
                                    </m:r>
                                  </m:sub>
                                </m:sSub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</w:rPr>
                                  <m:t>LV</m:t>
                                </m:r>
                              </m:sub>
                            </m:sSub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el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×F</m:t>
                    </m:r>
                  </m:e>
                </m:d>
              </m:e>
            </m:nary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sa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LV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el</m:t>
                    </m:r>
                  </m:sub>
                </m:sSub>
              </m:sub>
            </m:sSub>
          </m:den>
        </m:f>
      </m:oMath>
      <w:r w:rsidR="00583CDE" w:rsidRPr="00EB4349">
        <w:rPr>
          <w:rFonts w:ascii="Times New Roman" w:hAnsi="Times New Roman" w:cs="Times New Roman"/>
          <w:sz w:val="28"/>
          <w:szCs w:val="28"/>
        </w:rPr>
        <w:t>, kur</w:t>
      </w:r>
    </w:p>
    <w:p w14:paraId="3E47D120" w14:textId="77777777" w:rsidR="00935F05" w:rsidRPr="00EB4349" w:rsidRDefault="00935F05" w:rsidP="00EB4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24B9BF" w14:textId="2DFAF0C7" w:rsidR="008351EB" w:rsidRDefault="003C4790" w:rsidP="00EB434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vertAlign w:val="subscript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el</m:t>
            </m:r>
          </m:sub>
        </m:sSub>
      </m:oMath>
      <w:r w:rsidR="008351E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8351EB" w:rsidRPr="008351EB">
        <w:rPr>
          <w:rFonts w:ascii="Times New Roman" w:hAnsi="Times New Roman" w:cs="Times New Roman"/>
          <w:sz w:val="28"/>
          <w:szCs w:val="28"/>
        </w:rPr>
        <w:t>– CO</w:t>
      </w:r>
      <w:r w:rsidR="008351EB" w:rsidRPr="008351E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351EB" w:rsidRPr="008351EB">
        <w:rPr>
          <w:rFonts w:ascii="Times New Roman" w:hAnsi="Times New Roman" w:cs="Times New Roman"/>
          <w:sz w:val="28"/>
          <w:szCs w:val="28"/>
        </w:rPr>
        <w:t xml:space="preserve"> emisijas faktors Latvijā ražotai elektroenerģijai,</w:t>
      </w:r>
      <w:r w:rsidR="008351E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8351EB" w:rsidRPr="00EB4349">
        <w:rPr>
          <w:rFonts w:ascii="Times New Roman" w:hAnsi="Times New Roman" w:cs="Times New Roman"/>
          <w:sz w:val="28"/>
          <w:szCs w:val="28"/>
        </w:rPr>
        <w:t>t CO</w:t>
      </w:r>
      <w:r w:rsidR="008351EB" w:rsidRPr="00EB43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351EB" w:rsidRPr="00EB434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8351EB" w:rsidRPr="00EB4349">
        <w:rPr>
          <w:rFonts w:ascii="Times New Roman" w:hAnsi="Times New Roman" w:cs="Times New Roman"/>
          <w:sz w:val="28"/>
          <w:szCs w:val="28"/>
        </w:rPr>
        <w:t>MWh</w:t>
      </w:r>
      <w:proofErr w:type="spellEnd"/>
      <w:r w:rsidR="008351EB">
        <w:rPr>
          <w:rFonts w:ascii="Times New Roman" w:hAnsi="Times New Roman" w:cs="Times New Roman"/>
          <w:sz w:val="28"/>
          <w:szCs w:val="28"/>
        </w:rPr>
        <w:t>;</w:t>
      </w:r>
    </w:p>
    <w:p w14:paraId="642E9BE7" w14:textId="77777777" w:rsidR="00583CDE" w:rsidRPr="00EB4349" w:rsidRDefault="003C4790" w:rsidP="00EB434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sa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fos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LV</m:t>
                    </m:r>
                  </m:sub>
                </m:sSub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el</m:t>
                </m:r>
              </m:sub>
            </m:sSub>
          </m:sub>
        </m:sSub>
      </m:oMath>
      <w:r w:rsidR="001C7B64" w:rsidRPr="00EB4349">
        <w:rPr>
          <w:rFonts w:ascii="Times New Roman" w:hAnsi="Times New Roman" w:cs="Times New Roman"/>
          <w:sz w:val="28"/>
          <w:szCs w:val="28"/>
        </w:rPr>
        <w:t> </w:t>
      </w:r>
      <w:r w:rsidR="00583CDE" w:rsidRPr="00EB4349">
        <w:rPr>
          <w:rFonts w:ascii="Times New Roman" w:hAnsi="Times New Roman" w:cs="Times New Roman"/>
          <w:sz w:val="28"/>
          <w:szCs w:val="28"/>
        </w:rPr>
        <w:t>–</w:t>
      </w:r>
      <w:r w:rsidR="001C7B64" w:rsidRPr="00EB4349">
        <w:rPr>
          <w:rFonts w:ascii="Times New Roman" w:hAnsi="Times New Roman" w:cs="Times New Roman"/>
          <w:sz w:val="28"/>
          <w:szCs w:val="28"/>
        </w:rPr>
        <w:t> </w:t>
      </w:r>
      <w:r w:rsidR="00583CDE" w:rsidRPr="00EB4349">
        <w:rPr>
          <w:rFonts w:ascii="Times New Roman" w:hAnsi="Times New Roman" w:cs="Times New Roman"/>
          <w:sz w:val="28"/>
          <w:szCs w:val="28"/>
        </w:rPr>
        <w:t>elektroenerģijas apjoms</w:t>
      </w:r>
      <w:r w:rsidR="003973C2" w:rsidRPr="00EB4349">
        <w:rPr>
          <w:rFonts w:ascii="Times New Roman" w:hAnsi="Times New Roman" w:cs="Times New Roman"/>
          <w:sz w:val="28"/>
          <w:szCs w:val="28"/>
        </w:rPr>
        <w:t>, kas saražots Latvijā, izmantojot</w:t>
      </w:r>
      <w:r w:rsidR="00583CDE" w:rsidRPr="00EB4349">
        <w:rPr>
          <w:rFonts w:ascii="Times New Roman" w:hAnsi="Times New Roman" w:cs="Times New Roman"/>
          <w:sz w:val="28"/>
          <w:szCs w:val="28"/>
        </w:rPr>
        <w:t xml:space="preserve"> fosilos </w:t>
      </w:r>
      <w:r w:rsidR="00134977">
        <w:rPr>
          <w:rFonts w:ascii="Times New Roman" w:hAnsi="Times New Roman" w:cs="Times New Roman"/>
          <w:sz w:val="28"/>
          <w:szCs w:val="28"/>
        </w:rPr>
        <w:t>kurināmā veidus</w:t>
      </w:r>
      <w:r w:rsidR="00583CDE" w:rsidRPr="00EB43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83CDE" w:rsidRPr="00EB4349">
        <w:rPr>
          <w:rFonts w:ascii="Times New Roman" w:hAnsi="Times New Roman" w:cs="Times New Roman"/>
          <w:sz w:val="28"/>
          <w:szCs w:val="28"/>
        </w:rPr>
        <w:t>MWh</w:t>
      </w:r>
      <w:proofErr w:type="spellEnd"/>
      <w:r w:rsidR="00583CDE" w:rsidRPr="00EB4349">
        <w:rPr>
          <w:rFonts w:ascii="Times New Roman" w:hAnsi="Times New Roman" w:cs="Times New Roman"/>
          <w:sz w:val="28"/>
          <w:szCs w:val="28"/>
        </w:rPr>
        <w:t>;</w:t>
      </w:r>
    </w:p>
    <w:p w14:paraId="6B1FE09B" w14:textId="77777777" w:rsidR="00583CDE" w:rsidRPr="00EB4349" w:rsidRDefault="00797893" w:rsidP="00EB434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</m:oMath>
      <w:r w:rsidR="001C7B64" w:rsidRPr="00EB4349">
        <w:rPr>
          <w:rFonts w:ascii="Times New Roman" w:hAnsi="Times New Roman" w:cs="Times New Roman"/>
          <w:sz w:val="28"/>
          <w:szCs w:val="28"/>
        </w:rPr>
        <w:t> – </w:t>
      </w:r>
      <w:r w:rsidR="00915637" w:rsidRPr="00EB4349">
        <w:rPr>
          <w:rFonts w:ascii="Times New Roman" w:hAnsi="Times New Roman" w:cs="Times New Roman"/>
          <w:sz w:val="28"/>
          <w:szCs w:val="28"/>
        </w:rPr>
        <w:t>C</w:t>
      </w:r>
      <w:r w:rsidR="00583CDE" w:rsidRPr="00EB4349">
        <w:rPr>
          <w:rFonts w:ascii="Times New Roman" w:hAnsi="Times New Roman" w:cs="Times New Roman"/>
          <w:sz w:val="28"/>
          <w:szCs w:val="28"/>
        </w:rPr>
        <w:t>O</w:t>
      </w:r>
      <w:r w:rsidR="00583CDE" w:rsidRPr="00EB43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83CDE" w:rsidRPr="00EB4349">
        <w:rPr>
          <w:rFonts w:ascii="Times New Roman" w:hAnsi="Times New Roman" w:cs="Times New Roman"/>
          <w:sz w:val="28"/>
          <w:szCs w:val="28"/>
        </w:rPr>
        <w:t xml:space="preserve"> emisijas faktors</w:t>
      </w:r>
      <w:r w:rsidR="00EC70B2">
        <w:rPr>
          <w:rFonts w:ascii="Times New Roman" w:hAnsi="Times New Roman" w:cs="Times New Roman"/>
          <w:sz w:val="28"/>
          <w:szCs w:val="28"/>
        </w:rPr>
        <w:t xml:space="preserve"> izmantotajiem </w:t>
      </w:r>
      <w:r w:rsidR="00885C1D">
        <w:rPr>
          <w:rFonts w:ascii="Times New Roman" w:hAnsi="Times New Roman" w:cs="Times New Roman"/>
          <w:sz w:val="28"/>
          <w:szCs w:val="28"/>
        </w:rPr>
        <w:t>kurināmo veidiem</w:t>
      </w:r>
      <w:r w:rsidR="00EC70B2">
        <w:rPr>
          <w:rFonts w:ascii="Times New Roman" w:hAnsi="Times New Roman" w:cs="Times New Roman"/>
          <w:sz w:val="28"/>
          <w:szCs w:val="28"/>
        </w:rPr>
        <w:t>,</w:t>
      </w:r>
      <w:r w:rsidR="00935F05" w:rsidRPr="00EB4349">
        <w:rPr>
          <w:rFonts w:ascii="Times New Roman" w:hAnsi="Times New Roman" w:cs="Times New Roman"/>
          <w:sz w:val="28"/>
          <w:szCs w:val="28"/>
        </w:rPr>
        <w:t xml:space="preserve"> atbilstoš</w:t>
      </w:r>
      <w:r w:rsidR="002B30CB">
        <w:rPr>
          <w:rFonts w:ascii="Times New Roman" w:hAnsi="Times New Roman" w:cs="Times New Roman"/>
          <w:sz w:val="28"/>
          <w:szCs w:val="28"/>
        </w:rPr>
        <w:t>i</w:t>
      </w:r>
      <w:r w:rsidR="00935F05" w:rsidRPr="00EB4349">
        <w:rPr>
          <w:rFonts w:ascii="Times New Roman" w:hAnsi="Times New Roman" w:cs="Times New Roman"/>
          <w:sz w:val="28"/>
          <w:szCs w:val="28"/>
        </w:rPr>
        <w:t xml:space="preserve"> </w:t>
      </w:r>
      <w:r w:rsidR="00FE0C78">
        <w:rPr>
          <w:rFonts w:ascii="Times New Roman" w:hAnsi="Times New Roman" w:cs="Times New Roman"/>
          <w:sz w:val="28"/>
          <w:szCs w:val="28"/>
        </w:rPr>
        <w:t xml:space="preserve">šī pielikuma </w:t>
      </w:r>
      <w:r w:rsidR="00583CDE" w:rsidRPr="00EB4349">
        <w:rPr>
          <w:rFonts w:ascii="Times New Roman" w:hAnsi="Times New Roman" w:cs="Times New Roman"/>
          <w:sz w:val="28"/>
          <w:szCs w:val="28"/>
        </w:rPr>
        <w:t>1.</w:t>
      </w:r>
      <w:r w:rsidR="00935F05" w:rsidRPr="00EB4349">
        <w:rPr>
          <w:rFonts w:ascii="Times New Roman" w:hAnsi="Times New Roman" w:cs="Times New Roman"/>
          <w:sz w:val="28"/>
          <w:szCs w:val="28"/>
        </w:rPr>
        <w:t> </w:t>
      </w:r>
      <w:r w:rsidR="00D96282">
        <w:rPr>
          <w:rFonts w:ascii="Times New Roman" w:hAnsi="Times New Roman" w:cs="Times New Roman"/>
          <w:sz w:val="28"/>
          <w:szCs w:val="28"/>
        </w:rPr>
        <w:t>punktam</w:t>
      </w:r>
      <w:r w:rsidR="00935F05" w:rsidRPr="00EB4349">
        <w:rPr>
          <w:rFonts w:ascii="Times New Roman" w:hAnsi="Times New Roman" w:cs="Times New Roman"/>
          <w:sz w:val="28"/>
          <w:szCs w:val="28"/>
        </w:rPr>
        <w:t>, t CO</w:t>
      </w:r>
      <w:r w:rsidR="00935F05" w:rsidRPr="00EB43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35F05" w:rsidRPr="00EB434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935F05" w:rsidRPr="00EB4349">
        <w:rPr>
          <w:rFonts w:ascii="Times New Roman" w:hAnsi="Times New Roman" w:cs="Times New Roman"/>
          <w:sz w:val="28"/>
          <w:szCs w:val="28"/>
        </w:rPr>
        <w:t>MWh</w:t>
      </w:r>
      <w:proofErr w:type="spellEnd"/>
      <w:r w:rsidR="00583CDE" w:rsidRPr="00EB4349">
        <w:rPr>
          <w:rFonts w:ascii="Times New Roman" w:hAnsi="Times New Roman" w:cs="Times New Roman"/>
          <w:sz w:val="28"/>
          <w:szCs w:val="28"/>
        </w:rPr>
        <w:t>;</w:t>
      </w:r>
    </w:p>
    <w:p w14:paraId="40F88588" w14:textId="77777777" w:rsidR="00583CDE" w:rsidRPr="00EB4349" w:rsidRDefault="003C4790" w:rsidP="00EB434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sa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LV</m:t>
                    </m:r>
                  </m:sub>
                </m:sSub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el</m:t>
                </m:r>
              </m:sub>
            </m:sSub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1C7B64" w:rsidRPr="00EB4349">
        <w:rPr>
          <w:rFonts w:ascii="Times New Roman" w:hAnsi="Times New Roman" w:cs="Times New Roman"/>
          <w:sz w:val="28"/>
          <w:szCs w:val="28"/>
        </w:rPr>
        <w:t>– </w:t>
      </w:r>
      <w:r w:rsidR="00583CDE" w:rsidRPr="00EB4349">
        <w:rPr>
          <w:rFonts w:ascii="Times New Roman" w:hAnsi="Times New Roman" w:cs="Times New Roman"/>
          <w:sz w:val="28"/>
          <w:szCs w:val="28"/>
        </w:rPr>
        <w:t>elektroenerģijas apjoms</w:t>
      </w:r>
      <w:r w:rsidR="00391CE8" w:rsidRPr="00EB4349">
        <w:rPr>
          <w:rFonts w:ascii="Times New Roman" w:hAnsi="Times New Roman" w:cs="Times New Roman"/>
          <w:sz w:val="28"/>
          <w:szCs w:val="28"/>
        </w:rPr>
        <w:t>, kas</w:t>
      </w:r>
      <w:r w:rsidR="00583CDE" w:rsidRPr="00EB4349">
        <w:rPr>
          <w:rFonts w:ascii="Times New Roman" w:hAnsi="Times New Roman" w:cs="Times New Roman"/>
          <w:sz w:val="28"/>
          <w:szCs w:val="28"/>
        </w:rPr>
        <w:t xml:space="preserve"> </w:t>
      </w:r>
      <w:r w:rsidR="00391CE8" w:rsidRPr="00EB4349">
        <w:rPr>
          <w:rFonts w:ascii="Times New Roman" w:hAnsi="Times New Roman" w:cs="Times New Roman"/>
          <w:sz w:val="28"/>
          <w:szCs w:val="28"/>
        </w:rPr>
        <w:t>saražots Latvijā</w:t>
      </w:r>
      <w:r w:rsidR="00583CDE" w:rsidRPr="00EB43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83CDE" w:rsidRPr="00EB4349">
        <w:rPr>
          <w:rFonts w:ascii="Times New Roman" w:hAnsi="Times New Roman" w:cs="Times New Roman"/>
          <w:sz w:val="28"/>
          <w:szCs w:val="28"/>
        </w:rPr>
        <w:t>MWh</w:t>
      </w:r>
      <w:proofErr w:type="spellEnd"/>
      <w:r w:rsidR="00583CDE" w:rsidRPr="00EB4349">
        <w:rPr>
          <w:rFonts w:ascii="Times New Roman" w:hAnsi="Times New Roman" w:cs="Times New Roman"/>
          <w:sz w:val="28"/>
          <w:szCs w:val="28"/>
        </w:rPr>
        <w:t>.</w:t>
      </w:r>
    </w:p>
    <w:p w14:paraId="1927898D" w14:textId="77777777" w:rsidR="00583CDE" w:rsidRPr="00EB4349" w:rsidRDefault="00583CDE" w:rsidP="00EB43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CD4A337" w14:textId="2E3F6F68" w:rsidR="00A74BFB" w:rsidRPr="00EB4349" w:rsidRDefault="00581C75" w:rsidP="00EB43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A74BFB" w:rsidRPr="00EB4349">
        <w:rPr>
          <w:rFonts w:ascii="Times New Roman" w:hAnsi="Times New Roman" w:cs="Times New Roman"/>
          <w:sz w:val="28"/>
          <w:szCs w:val="28"/>
        </w:rPr>
        <w:t>. </w:t>
      </w:r>
      <w:r w:rsidR="00FC68BE" w:rsidRPr="00EB4349">
        <w:rPr>
          <w:rFonts w:ascii="Times New Roman" w:hAnsi="Times New Roman" w:cs="Times New Roman"/>
          <w:sz w:val="28"/>
          <w:szCs w:val="28"/>
        </w:rPr>
        <w:t>CO</w:t>
      </w:r>
      <w:r w:rsidR="00FC68BE" w:rsidRPr="00EB43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C68BE" w:rsidRPr="00EB4349">
        <w:rPr>
          <w:rFonts w:ascii="Times New Roman" w:hAnsi="Times New Roman" w:cs="Times New Roman"/>
          <w:sz w:val="28"/>
          <w:szCs w:val="28"/>
        </w:rPr>
        <w:t xml:space="preserve"> emisijas faktor</w:t>
      </w:r>
      <w:r w:rsidR="009A140D">
        <w:rPr>
          <w:rFonts w:ascii="Times New Roman" w:hAnsi="Times New Roman" w:cs="Times New Roman"/>
          <w:sz w:val="28"/>
          <w:szCs w:val="28"/>
        </w:rPr>
        <w:t>u</w:t>
      </w:r>
      <w:r w:rsidR="00DF480B">
        <w:rPr>
          <w:rFonts w:ascii="Times New Roman" w:hAnsi="Times New Roman" w:cs="Times New Roman"/>
          <w:sz w:val="28"/>
          <w:szCs w:val="28"/>
        </w:rPr>
        <w:t xml:space="preserve"> </w:t>
      </w:r>
      <w:r w:rsidR="009A140D">
        <w:rPr>
          <w:rFonts w:ascii="Times New Roman" w:hAnsi="Times New Roman" w:cs="Times New Roman"/>
          <w:sz w:val="28"/>
          <w:szCs w:val="28"/>
        </w:rPr>
        <w:t>Latvijā ražotai</w:t>
      </w:r>
      <w:r w:rsidR="005A05EA" w:rsidRPr="00EB4349">
        <w:rPr>
          <w:rFonts w:ascii="Times New Roman" w:hAnsi="Times New Roman" w:cs="Times New Roman"/>
          <w:sz w:val="28"/>
          <w:szCs w:val="28"/>
        </w:rPr>
        <w:t xml:space="preserve"> siltumenerģijai</w:t>
      </w:r>
      <w:r w:rsidR="00F748F2" w:rsidRPr="00EB4349">
        <w:rPr>
          <w:rFonts w:ascii="Times New Roman" w:hAnsi="Times New Roman" w:cs="Times New Roman"/>
          <w:sz w:val="28"/>
          <w:szCs w:val="28"/>
        </w:rPr>
        <w:t xml:space="preserve"> </w:t>
      </w:r>
      <w:r w:rsidR="00DF317B" w:rsidRPr="00EB4349">
        <w:rPr>
          <w:rFonts w:ascii="Times New Roman" w:hAnsi="Times New Roman" w:cs="Times New Roman"/>
          <w:sz w:val="28"/>
          <w:szCs w:val="28"/>
        </w:rPr>
        <w:t>katlumājās un koģenerācijas</w:t>
      </w:r>
      <w:r w:rsidR="00625F05" w:rsidRPr="00EB4349">
        <w:rPr>
          <w:rFonts w:ascii="Times New Roman" w:hAnsi="Times New Roman" w:cs="Times New Roman"/>
          <w:sz w:val="28"/>
          <w:szCs w:val="28"/>
        </w:rPr>
        <w:t xml:space="preserve"> </w:t>
      </w:r>
      <w:r w:rsidR="00DF317B" w:rsidRPr="00EB4349">
        <w:rPr>
          <w:rFonts w:ascii="Times New Roman" w:hAnsi="Times New Roman" w:cs="Times New Roman"/>
          <w:sz w:val="28"/>
          <w:szCs w:val="28"/>
        </w:rPr>
        <w:t>stacijās</w:t>
      </w:r>
      <w:r w:rsidR="009A140D">
        <w:rPr>
          <w:rFonts w:ascii="Times New Roman" w:hAnsi="Times New Roman" w:cs="Times New Roman"/>
          <w:sz w:val="28"/>
          <w:szCs w:val="28"/>
        </w:rPr>
        <w:t xml:space="preserve"> </w:t>
      </w:r>
      <w:r w:rsidR="00E9207F" w:rsidRPr="00EB4349">
        <w:rPr>
          <w:rFonts w:ascii="Times New Roman" w:hAnsi="Times New Roman" w:cs="Times New Roman"/>
          <w:sz w:val="28"/>
          <w:szCs w:val="28"/>
        </w:rPr>
        <w:t>aprēķin</w:t>
      </w:r>
      <w:r w:rsidR="009A140D">
        <w:rPr>
          <w:rFonts w:ascii="Times New Roman" w:hAnsi="Times New Roman" w:cs="Times New Roman"/>
          <w:sz w:val="28"/>
          <w:szCs w:val="28"/>
        </w:rPr>
        <w:t>a</w:t>
      </w:r>
      <w:r w:rsidR="00E9207F" w:rsidRPr="00EB4349">
        <w:rPr>
          <w:rFonts w:ascii="Times New Roman" w:hAnsi="Times New Roman" w:cs="Times New Roman"/>
          <w:sz w:val="28"/>
          <w:szCs w:val="28"/>
        </w:rPr>
        <w:t xml:space="preserve"> pēc šādas formulas:</w:t>
      </w:r>
    </w:p>
    <w:p w14:paraId="24864947" w14:textId="77777777" w:rsidR="00822C7E" w:rsidRPr="00EB4349" w:rsidRDefault="00822C7E" w:rsidP="00EB43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Start w:id="1" w:name="OLE_LINK1"/>
    <w:p w14:paraId="4EB5E988" w14:textId="77777777" w:rsidR="00822C7E" w:rsidRPr="00EB4349" w:rsidRDefault="003C4790" w:rsidP="00EB43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F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vid</m:t>
                </m:r>
              </m:sub>
            </m:sSub>
          </m:sub>
        </m:sSub>
        <w:bookmarkEnd w:id="1"/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sa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8"/>
                                        <w:szCs w:val="28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28"/>
                                        <w:szCs w:val="28"/>
                                      </w:rPr>
                                      <m:t>fos</m:t>
                                    </m:r>
                                  </m:sub>
                                </m:sSub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</w:rPr>
                                  <m:t>LV</m:t>
                                </m:r>
                              </m:sub>
                            </m:sSub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th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×F</m:t>
                    </m:r>
                  </m:e>
                </m:d>
              </m:e>
            </m:nary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sa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LV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th</m:t>
                    </m:r>
                  </m:sub>
                </m:sSub>
              </m:sub>
            </m:sSub>
          </m:den>
        </m:f>
      </m:oMath>
      <w:r w:rsidR="00822C7E" w:rsidRPr="00EB4349">
        <w:rPr>
          <w:rFonts w:ascii="Times New Roman" w:hAnsi="Times New Roman" w:cs="Times New Roman"/>
          <w:sz w:val="28"/>
          <w:szCs w:val="28"/>
        </w:rPr>
        <w:t>, kur</w:t>
      </w:r>
    </w:p>
    <w:p w14:paraId="33CCDDD9" w14:textId="77777777" w:rsidR="00822C7E" w:rsidRPr="00EB4349" w:rsidRDefault="00822C7E" w:rsidP="00EB4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A1C81F" w14:textId="3EB4283B" w:rsidR="005A30FB" w:rsidRDefault="003C4790" w:rsidP="00EB434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vertAlign w:val="subscript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F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vid</m:t>
                </m:r>
              </m:sub>
            </m:sSub>
          </m:sub>
        </m:sSub>
      </m:oMath>
      <w:r w:rsidR="005A30FB" w:rsidRPr="005A30FB">
        <w:rPr>
          <w:rFonts w:ascii="Times New Roman" w:hAnsi="Times New Roman" w:cs="Times New Roman"/>
          <w:sz w:val="28"/>
          <w:szCs w:val="28"/>
        </w:rPr>
        <w:t xml:space="preserve"> – CO</w:t>
      </w:r>
      <w:r w:rsidR="005A30FB" w:rsidRPr="005A30F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A30FB" w:rsidRPr="005A30FB">
        <w:rPr>
          <w:rFonts w:ascii="Times New Roman" w:hAnsi="Times New Roman" w:cs="Times New Roman"/>
          <w:sz w:val="28"/>
          <w:szCs w:val="28"/>
        </w:rPr>
        <w:t xml:space="preserve"> emisijas faktors Latvijā ražotai siltumenerģijai katlumājās un koģenerācijas stacijās,</w:t>
      </w:r>
      <w:r w:rsidR="005A30F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5A30FB" w:rsidRPr="00EB4349">
        <w:rPr>
          <w:rFonts w:ascii="Times New Roman" w:hAnsi="Times New Roman" w:cs="Times New Roman"/>
          <w:sz w:val="28"/>
          <w:szCs w:val="28"/>
        </w:rPr>
        <w:t>t CO</w:t>
      </w:r>
      <w:r w:rsidR="005A30FB" w:rsidRPr="00EB43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A30FB" w:rsidRPr="00EB434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5A30FB" w:rsidRPr="00EB4349">
        <w:rPr>
          <w:rFonts w:ascii="Times New Roman" w:hAnsi="Times New Roman" w:cs="Times New Roman"/>
          <w:sz w:val="28"/>
          <w:szCs w:val="28"/>
        </w:rPr>
        <w:t>MWh</w:t>
      </w:r>
      <w:proofErr w:type="spellEnd"/>
      <w:r w:rsidR="005A30FB">
        <w:rPr>
          <w:rFonts w:ascii="Times New Roman" w:hAnsi="Times New Roman" w:cs="Times New Roman"/>
          <w:sz w:val="28"/>
          <w:szCs w:val="28"/>
        </w:rPr>
        <w:t>;</w:t>
      </w:r>
    </w:p>
    <w:p w14:paraId="5567A6B2" w14:textId="77777777" w:rsidR="00822C7E" w:rsidRPr="00EB4349" w:rsidRDefault="003C4790" w:rsidP="00EB434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sa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fos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LV</m:t>
                    </m:r>
                  </m:sub>
                </m:sSub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th</m:t>
                </m:r>
              </m:sub>
            </m:sSub>
          </m:sub>
        </m:sSub>
      </m:oMath>
      <w:r w:rsidR="00822C7E" w:rsidRPr="00EB4349">
        <w:rPr>
          <w:rFonts w:ascii="Times New Roman" w:hAnsi="Times New Roman" w:cs="Times New Roman"/>
          <w:sz w:val="28"/>
          <w:szCs w:val="28"/>
        </w:rPr>
        <w:t> – </w:t>
      </w:r>
      <w:r w:rsidR="00E742B7" w:rsidRPr="00EB4349">
        <w:rPr>
          <w:rFonts w:ascii="Times New Roman" w:hAnsi="Times New Roman" w:cs="Times New Roman"/>
          <w:sz w:val="28"/>
          <w:szCs w:val="28"/>
        </w:rPr>
        <w:t>siltumenerģijas</w:t>
      </w:r>
      <w:r w:rsidR="00822C7E" w:rsidRPr="00EB4349">
        <w:rPr>
          <w:rFonts w:ascii="Times New Roman" w:hAnsi="Times New Roman" w:cs="Times New Roman"/>
          <w:sz w:val="28"/>
          <w:szCs w:val="28"/>
        </w:rPr>
        <w:t xml:space="preserve"> apjoms, kas saražots Latvijā</w:t>
      </w:r>
      <w:r w:rsidR="00E742B7" w:rsidRPr="00EB4349">
        <w:rPr>
          <w:rFonts w:ascii="Times New Roman" w:hAnsi="Times New Roman" w:cs="Times New Roman"/>
          <w:sz w:val="28"/>
          <w:szCs w:val="28"/>
        </w:rPr>
        <w:t xml:space="preserve"> katlumājās un koģenerācijas stacijās</w:t>
      </w:r>
      <w:r w:rsidR="00822C7E" w:rsidRPr="00EB4349">
        <w:rPr>
          <w:rFonts w:ascii="Times New Roman" w:hAnsi="Times New Roman" w:cs="Times New Roman"/>
          <w:sz w:val="28"/>
          <w:szCs w:val="28"/>
        </w:rPr>
        <w:t xml:space="preserve">, izmantojot fosilos </w:t>
      </w:r>
      <w:r w:rsidR="00134977">
        <w:rPr>
          <w:rFonts w:ascii="Times New Roman" w:hAnsi="Times New Roman" w:cs="Times New Roman"/>
          <w:sz w:val="28"/>
          <w:szCs w:val="28"/>
        </w:rPr>
        <w:t>kurināmo veidus</w:t>
      </w:r>
      <w:r w:rsidR="00822C7E" w:rsidRPr="00EB43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22C7E" w:rsidRPr="00EB4349">
        <w:rPr>
          <w:rFonts w:ascii="Times New Roman" w:hAnsi="Times New Roman" w:cs="Times New Roman"/>
          <w:sz w:val="28"/>
          <w:szCs w:val="28"/>
        </w:rPr>
        <w:t>MWh</w:t>
      </w:r>
      <w:proofErr w:type="spellEnd"/>
      <w:r w:rsidR="00822C7E" w:rsidRPr="00EB4349">
        <w:rPr>
          <w:rFonts w:ascii="Times New Roman" w:hAnsi="Times New Roman" w:cs="Times New Roman"/>
          <w:sz w:val="28"/>
          <w:szCs w:val="28"/>
        </w:rPr>
        <w:t>;</w:t>
      </w:r>
    </w:p>
    <w:p w14:paraId="0472E4D7" w14:textId="77777777" w:rsidR="00822C7E" w:rsidRPr="00EB4349" w:rsidRDefault="00797893" w:rsidP="00EB434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</m:oMath>
      <w:r w:rsidR="00822C7E" w:rsidRPr="00EB4349">
        <w:rPr>
          <w:rFonts w:ascii="Times New Roman" w:hAnsi="Times New Roman" w:cs="Times New Roman"/>
          <w:sz w:val="28"/>
          <w:szCs w:val="28"/>
        </w:rPr>
        <w:t> – CO</w:t>
      </w:r>
      <w:r w:rsidR="00822C7E" w:rsidRPr="00EB43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22C7E" w:rsidRPr="00EB4349">
        <w:rPr>
          <w:rFonts w:ascii="Times New Roman" w:hAnsi="Times New Roman" w:cs="Times New Roman"/>
          <w:sz w:val="28"/>
          <w:szCs w:val="28"/>
        </w:rPr>
        <w:t xml:space="preserve"> emisijas faktors</w:t>
      </w:r>
      <w:r w:rsidR="00EC70B2">
        <w:rPr>
          <w:rFonts w:ascii="Times New Roman" w:hAnsi="Times New Roman" w:cs="Times New Roman"/>
          <w:sz w:val="28"/>
          <w:szCs w:val="28"/>
        </w:rPr>
        <w:t xml:space="preserve"> izmantotajiem </w:t>
      </w:r>
      <w:r w:rsidR="00134977">
        <w:rPr>
          <w:rFonts w:ascii="Times New Roman" w:hAnsi="Times New Roman" w:cs="Times New Roman"/>
          <w:sz w:val="28"/>
          <w:szCs w:val="28"/>
        </w:rPr>
        <w:t>kurināmā veidiem</w:t>
      </w:r>
      <w:r w:rsidR="00822C7E" w:rsidRPr="00EB4349">
        <w:rPr>
          <w:rFonts w:ascii="Times New Roman" w:hAnsi="Times New Roman" w:cs="Times New Roman"/>
          <w:sz w:val="28"/>
          <w:szCs w:val="28"/>
        </w:rPr>
        <w:t>, atbilstoš</w:t>
      </w:r>
      <w:r w:rsidR="00BF13ED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0C78">
        <w:rPr>
          <w:rFonts w:ascii="Times New Roman" w:hAnsi="Times New Roman" w:cs="Times New Roman"/>
          <w:sz w:val="28"/>
          <w:szCs w:val="28"/>
        </w:rPr>
        <w:t xml:space="preserve">šī pielikuma </w:t>
      </w:r>
      <w:r w:rsidR="00822C7E" w:rsidRPr="00EB4349">
        <w:rPr>
          <w:rFonts w:ascii="Times New Roman" w:hAnsi="Times New Roman" w:cs="Times New Roman"/>
          <w:sz w:val="28"/>
          <w:szCs w:val="28"/>
        </w:rPr>
        <w:t>1. </w:t>
      </w:r>
      <w:r w:rsidR="00D96282">
        <w:rPr>
          <w:rFonts w:ascii="Times New Roman" w:hAnsi="Times New Roman" w:cs="Times New Roman"/>
          <w:sz w:val="28"/>
          <w:szCs w:val="28"/>
        </w:rPr>
        <w:t>punktam</w:t>
      </w:r>
      <w:r w:rsidR="00822C7E" w:rsidRPr="00EB4349">
        <w:rPr>
          <w:rFonts w:ascii="Times New Roman" w:hAnsi="Times New Roman" w:cs="Times New Roman"/>
          <w:sz w:val="28"/>
          <w:szCs w:val="28"/>
        </w:rPr>
        <w:t>, t CO</w:t>
      </w:r>
      <w:r w:rsidR="00822C7E" w:rsidRPr="00EB43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22C7E" w:rsidRPr="00EB434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822C7E" w:rsidRPr="00EB4349">
        <w:rPr>
          <w:rFonts w:ascii="Times New Roman" w:hAnsi="Times New Roman" w:cs="Times New Roman"/>
          <w:sz w:val="28"/>
          <w:szCs w:val="28"/>
        </w:rPr>
        <w:t>MWh</w:t>
      </w:r>
      <w:proofErr w:type="spellEnd"/>
      <w:r w:rsidR="00822C7E" w:rsidRPr="00EB4349">
        <w:rPr>
          <w:rFonts w:ascii="Times New Roman" w:hAnsi="Times New Roman" w:cs="Times New Roman"/>
          <w:sz w:val="28"/>
          <w:szCs w:val="28"/>
        </w:rPr>
        <w:t>;</w:t>
      </w:r>
    </w:p>
    <w:p w14:paraId="46C1CE58" w14:textId="77777777" w:rsidR="00822C7E" w:rsidRPr="00EB4349" w:rsidRDefault="003C4790" w:rsidP="00EB434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sa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LV</m:t>
                    </m:r>
                  </m:sub>
                </m:sSub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th</m:t>
                </m:r>
              </m:sub>
            </m:sSub>
          </m:sub>
        </m:sSub>
      </m:oMath>
      <w:r w:rsidR="00822C7E" w:rsidRPr="00EB4349">
        <w:rPr>
          <w:rFonts w:ascii="Times New Roman" w:hAnsi="Times New Roman" w:cs="Times New Roman"/>
          <w:sz w:val="28"/>
          <w:szCs w:val="28"/>
        </w:rPr>
        <w:t> – </w:t>
      </w:r>
      <w:r w:rsidR="00E742B7" w:rsidRPr="00EB4349">
        <w:rPr>
          <w:rFonts w:ascii="Times New Roman" w:hAnsi="Times New Roman" w:cs="Times New Roman"/>
          <w:sz w:val="28"/>
          <w:szCs w:val="28"/>
        </w:rPr>
        <w:t>siltumenerģijas</w:t>
      </w:r>
      <w:r w:rsidR="00822C7E" w:rsidRPr="00EB4349">
        <w:rPr>
          <w:rFonts w:ascii="Times New Roman" w:hAnsi="Times New Roman" w:cs="Times New Roman"/>
          <w:sz w:val="28"/>
          <w:szCs w:val="28"/>
        </w:rPr>
        <w:t xml:space="preserve"> apjoms, kas saražots Latvijā, </w:t>
      </w:r>
      <w:proofErr w:type="spellStart"/>
      <w:r w:rsidR="00822C7E" w:rsidRPr="00EB4349">
        <w:rPr>
          <w:rFonts w:ascii="Times New Roman" w:hAnsi="Times New Roman" w:cs="Times New Roman"/>
          <w:sz w:val="28"/>
          <w:szCs w:val="28"/>
        </w:rPr>
        <w:t>MWh</w:t>
      </w:r>
      <w:proofErr w:type="spellEnd"/>
      <w:r w:rsidR="00822C7E" w:rsidRPr="00EB4349">
        <w:rPr>
          <w:rFonts w:ascii="Times New Roman" w:hAnsi="Times New Roman" w:cs="Times New Roman"/>
          <w:sz w:val="28"/>
          <w:szCs w:val="28"/>
        </w:rPr>
        <w:t>.</w:t>
      </w:r>
    </w:p>
    <w:p w14:paraId="1415CF54" w14:textId="77777777" w:rsidR="00E9207F" w:rsidRPr="00EB4349" w:rsidRDefault="00E9207F" w:rsidP="00EB43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3BF7653" w14:textId="5130511B" w:rsidR="00E702E9" w:rsidRPr="00EB4349" w:rsidRDefault="00581C75" w:rsidP="00EB43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7452">
        <w:rPr>
          <w:rFonts w:ascii="Times New Roman" w:hAnsi="Times New Roman" w:cs="Times New Roman"/>
          <w:sz w:val="28"/>
          <w:szCs w:val="28"/>
        </w:rPr>
        <w:t>6</w:t>
      </w:r>
      <w:r w:rsidR="00E702E9" w:rsidRPr="00190591">
        <w:rPr>
          <w:rFonts w:ascii="Times New Roman" w:hAnsi="Times New Roman" w:cs="Times New Roman"/>
          <w:sz w:val="28"/>
          <w:szCs w:val="28"/>
        </w:rPr>
        <w:t>. </w:t>
      </w:r>
      <w:r w:rsidR="0034443E">
        <w:rPr>
          <w:rFonts w:ascii="Times New Roman" w:hAnsi="Times New Roman"/>
          <w:sz w:val="28"/>
        </w:rPr>
        <w:t>Šā</w:t>
      </w:r>
      <w:r w:rsidR="00646917" w:rsidRPr="00190591">
        <w:rPr>
          <w:rFonts w:ascii="Times New Roman" w:hAnsi="Times New Roman"/>
          <w:sz w:val="28"/>
        </w:rPr>
        <w:t xml:space="preserve"> pielikuma 4. un 5. punktā minētos emisijas faktorus balstoties uz Centrālās statistikas pārvaldes datiem katru gadu par laika posmu n-2 aprēķina un apstiprina Vides aizsardzības un reģionālās attīstības ministrija, un publicē tos savā tīmekļvietnē. Emisijas faktoru vērtības apstiprina ar Vides aizsardzības un reģionālās attīstības ministrijas rīkojumu.</w:t>
      </w:r>
    </w:p>
    <w:p w14:paraId="032B1976" w14:textId="77777777" w:rsidR="007E1127" w:rsidRDefault="007E1127" w:rsidP="00EB4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7C6609" w14:textId="77777777" w:rsidR="00D12987" w:rsidRPr="00D43F15" w:rsidRDefault="00570FC4" w:rsidP="00D43F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6B3493" w:rsidRPr="00EB4349">
        <w:rPr>
          <w:rFonts w:ascii="Times New Roman" w:eastAsia="Times New Roman" w:hAnsi="Times New Roman" w:cs="Times New Roman"/>
          <w:bCs/>
          <w:sz w:val="28"/>
          <w:szCs w:val="28"/>
        </w:rPr>
        <w:t>. </w:t>
      </w:r>
      <w:r w:rsidR="009A140D">
        <w:rPr>
          <w:rFonts w:ascii="Times New Roman" w:eastAsia="Times New Roman" w:hAnsi="Times New Roman" w:cs="Times New Roman"/>
          <w:bCs/>
          <w:sz w:val="28"/>
          <w:szCs w:val="28"/>
        </w:rPr>
        <w:t xml:space="preserve">Transportlīdzekļos izmantotās degvielas </w:t>
      </w:r>
      <w:r w:rsidR="00A44410">
        <w:rPr>
          <w:rFonts w:ascii="Times New Roman" w:eastAsia="Times New Roman" w:hAnsi="Times New Roman" w:cs="Times New Roman"/>
          <w:bCs/>
          <w:sz w:val="28"/>
          <w:szCs w:val="28"/>
        </w:rPr>
        <w:t>CO</w:t>
      </w:r>
      <w:r w:rsidR="00A44410" w:rsidRPr="00A44410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2</w:t>
      </w:r>
      <w:r w:rsidR="006B3493" w:rsidRPr="00EB4349">
        <w:rPr>
          <w:rFonts w:ascii="Times New Roman" w:hAnsi="Times New Roman" w:cs="Times New Roman"/>
          <w:sz w:val="28"/>
          <w:szCs w:val="28"/>
        </w:rPr>
        <w:t xml:space="preserve"> emisijas faktor</w:t>
      </w:r>
      <w:r w:rsidR="004A6053">
        <w:rPr>
          <w:rFonts w:ascii="Times New Roman" w:hAnsi="Times New Roman" w:cs="Times New Roman"/>
          <w:sz w:val="28"/>
          <w:szCs w:val="28"/>
        </w:rPr>
        <w:t>i</w:t>
      </w:r>
      <w:r w:rsidR="00701369">
        <w:rPr>
          <w:rFonts w:ascii="Times New Roman" w:hAnsi="Times New Roman" w:cs="Times New Roman"/>
          <w:sz w:val="28"/>
          <w:szCs w:val="28"/>
        </w:rPr>
        <w:t xml:space="preserve"> un blīvumi</w:t>
      </w:r>
      <w:r w:rsidR="00527440">
        <w:rPr>
          <w:rFonts w:ascii="Times New Roman" w:hAnsi="Times New Roman" w:cs="Times New Roman"/>
          <w:sz w:val="28"/>
          <w:szCs w:val="28"/>
        </w:rPr>
        <w:t>.</w:t>
      </w:r>
      <w:r w:rsidR="006B3493" w:rsidRPr="00EB43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633A84" w14:textId="4E607DF6" w:rsidR="00142CA5" w:rsidRPr="00EB4349" w:rsidRDefault="00A44410" w:rsidP="00EB434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142CA5" w:rsidRPr="00EB434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800CB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42CA5" w:rsidRPr="00EB4349">
        <w:rPr>
          <w:rFonts w:ascii="Times New Roman" w:eastAsia="Times New Roman" w:hAnsi="Times New Roman" w:cs="Times New Roman"/>
          <w:bCs/>
          <w:sz w:val="28"/>
          <w:szCs w:val="28"/>
        </w:rPr>
        <w:t>tabula</w:t>
      </w:r>
    </w:p>
    <w:tbl>
      <w:tblPr>
        <w:tblStyle w:val="TableGrid"/>
        <w:tblW w:w="8359" w:type="dxa"/>
        <w:jc w:val="center"/>
        <w:tblLayout w:type="fixed"/>
        <w:tblLook w:val="04A0" w:firstRow="1" w:lastRow="0" w:firstColumn="1" w:lastColumn="0" w:noHBand="0" w:noVBand="1"/>
      </w:tblPr>
      <w:tblGrid>
        <w:gridCol w:w="2235"/>
        <w:gridCol w:w="2296"/>
        <w:gridCol w:w="1985"/>
        <w:gridCol w:w="1843"/>
      </w:tblGrid>
      <w:tr w:rsidR="001206C5" w:rsidRPr="00EB4349" w14:paraId="2BD31271" w14:textId="77777777" w:rsidTr="00EF60EA">
        <w:trPr>
          <w:jc w:val="center"/>
        </w:trPr>
        <w:tc>
          <w:tcPr>
            <w:tcW w:w="2235" w:type="dxa"/>
            <w:vAlign w:val="center"/>
          </w:tcPr>
          <w:p w14:paraId="7BC8C339" w14:textId="77777777" w:rsidR="001206C5" w:rsidRPr="00EB4349" w:rsidRDefault="001206C5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B434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Degviela</w:t>
            </w:r>
          </w:p>
        </w:tc>
        <w:tc>
          <w:tcPr>
            <w:tcW w:w="2296" w:type="dxa"/>
          </w:tcPr>
          <w:p w14:paraId="5FF669C6" w14:textId="77777777" w:rsidR="001206C5" w:rsidRPr="00EB4349" w:rsidRDefault="001206C5" w:rsidP="005274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Zemākais sadegšanas siltums</w:t>
            </w:r>
            <w:r w:rsidR="00527440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z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sup>
              </m:sSubSup>
            </m:oMath>
            <w:r w:rsidR="001334D7">
              <w:rPr>
                <w:rFonts w:ascii="Times New Roman" w:hAnsi="Times New Roman" w:cs="Times New Roman"/>
                <w:sz w:val="28"/>
                <w:szCs w:val="28"/>
              </w:rPr>
              <w:t>, T</w:t>
            </w: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J/t</w:t>
            </w:r>
          </w:p>
        </w:tc>
        <w:tc>
          <w:tcPr>
            <w:tcW w:w="1985" w:type="dxa"/>
            <w:vAlign w:val="center"/>
          </w:tcPr>
          <w:p w14:paraId="0B44CBBE" w14:textId="77777777" w:rsidR="001206C5" w:rsidRPr="00EB4349" w:rsidRDefault="0073221A" w:rsidP="0052744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</w:t>
            </w:r>
            <w:r w:rsidRPr="0073221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="001206C5" w:rsidRPr="00EB4349">
              <w:rPr>
                <w:rFonts w:ascii="Times New Roman" w:hAnsi="Times New Roman" w:cs="Times New Roman"/>
                <w:sz w:val="28"/>
                <w:szCs w:val="28"/>
              </w:rPr>
              <w:t>misijas faktors</w:t>
            </w:r>
            <w:r w:rsidR="00527440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="00527440" w:rsidRPr="00EB43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CO2</m:t>
                  </m:r>
                </m:sub>
              </m:sSub>
            </m:oMath>
            <w:r w:rsidR="001206C5" w:rsidRPr="00EB4349">
              <w:rPr>
                <w:rFonts w:ascii="Times New Roman" w:hAnsi="Times New Roman" w:cs="Times New Roman"/>
                <w:sz w:val="28"/>
                <w:szCs w:val="28"/>
              </w:rPr>
              <w:t>, tCO</w:t>
            </w:r>
            <w:r w:rsidR="001206C5" w:rsidRPr="00EB434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1206C5" w:rsidRPr="00EB4349">
              <w:rPr>
                <w:rFonts w:ascii="Times New Roman" w:hAnsi="Times New Roman" w:cs="Times New Roman"/>
                <w:sz w:val="28"/>
                <w:szCs w:val="28"/>
              </w:rPr>
              <w:t>/TJ</w:t>
            </w:r>
          </w:p>
        </w:tc>
        <w:tc>
          <w:tcPr>
            <w:tcW w:w="1843" w:type="dxa"/>
            <w:vAlign w:val="center"/>
          </w:tcPr>
          <w:p w14:paraId="6948E055" w14:textId="77777777" w:rsidR="001206C5" w:rsidRPr="001206C5" w:rsidRDefault="001206C5" w:rsidP="005B698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206C5">
              <w:rPr>
                <w:rFonts w:ascii="Times New Roman" w:hAnsi="Times New Roman" w:cs="Times New Roman"/>
                <w:sz w:val="28"/>
                <w:szCs w:val="28"/>
              </w:rPr>
              <w:t xml:space="preserve">Blīvums,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</m:oMath>
            <w:r w:rsidRPr="001206C5">
              <w:rPr>
                <w:rFonts w:ascii="Times New Roman" w:hAnsi="Times New Roman" w:cs="Times New Roman"/>
                <w:sz w:val="28"/>
                <w:szCs w:val="28"/>
              </w:rPr>
              <w:t>, t/m</w:t>
            </w:r>
            <w:r w:rsidRPr="001206C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1206C5" w:rsidRPr="00EB4349" w14:paraId="0BAB26E4" w14:textId="77777777" w:rsidTr="00EF60EA">
        <w:trPr>
          <w:jc w:val="center"/>
        </w:trPr>
        <w:tc>
          <w:tcPr>
            <w:tcW w:w="8359" w:type="dxa"/>
            <w:gridSpan w:val="4"/>
          </w:tcPr>
          <w:p w14:paraId="5B7752AA" w14:textId="77777777" w:rsidR="001206C5" w:rsidRPr="00A224AA" w:rsidRDefault="001206C5" w:rsidP="00EB4349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  <w:r w:rsidRPr="00A224A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Autotransports</w:t>
            </w:r>
          </w:p>
        </w:tc>
      </w:tr>
      <w:tr w:rsidR="001206C5" w:rsidRPr="00EB4349" w14:paraId="5D09200C" w14:textId="77777777" w:rsidTr="00EF60EA">
        <w:trPr>
          <w:jc w:val="center"/>
        </w:trPr>
        <w:tc>
          <w:tcPr>
            <w:tcW w:w="2235" w:type="dxa"/>
          </w:tcPr>
          <w:p w14:paraId="3FFFB838" w14:textId="77777777" w:rsidR="001206C5" w:rsidRPr="00EB4349" w:rsidRDefault="001206C5" w:rsidP="00EB434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B434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Dīzeļdegviela</w:t>
            </w:r>
          </w:p>
        </w:tc>
        <w:tc>
          <w:tcPr>
            <w:tcW w:w="2296" w:type="dxa"/>
          </w:tcPr>
          <w:p w14:paraId="504B0972" w14:textId="77777777" w:rsidR="001206C5" w:rsidRPr="00EB4349" w:rsidRDefault="005E5BC1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0,0430</w:t>
            </w:r>
          </w:p>
        </w:tc>
        <w:tc>
          <w:tcPr>
            <w:tcW w:w="1985" w:type="dxa"/>
            <w:vAlign w:val="center"/>
          </w:tcPr>
          <w:p w14:paraId="69B630BB" w14:textId="77777777" w:rsidR="001206C5" w:rsidRPr="00EB4349" w:rsidRDefault="001206C5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B434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74,00</w:t>
            </w:r>
          </w:p>
        </w:tc>
        <w:tc>
          <w:tcPr>
            <w:tcW w:w="1843" w:type="dxa"/>
            <w:vAlign w:val="center"/>
          </w:tcPr>
          <w:p w14:paraId="0D78595E" w14:textId="77777777" w:rsidR="001206C5" w:rsidRPr="00EB4349" w:rsidRDefault="00006418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0,83</w:t>
            </w:r>
          </w:p>
        </w:tc>
      </w:tr>
      <w:tr w:rsidR="001206C5" w:rsidRPr="00EB4349" w14:paraId="01A1C65B" w14:textId="77777777" w:rsidTr="00EF60EA">
        <w:trPr>
          <w:jc w:val="center"/>
        </w:trPr>
        <w:tc>
          <w:tcPr>
            <w:tcW w:w="2235" w:type="dxa"/>
          </w:tcPr>
          <w:p w14:paraId="421F4F57" w14:textId="77777777" w:rsidR="001206C5" w:rsidRPr="00EB4349" w:rsidRDefault="001206C5" w:rsidP="00EB434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B434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Autobenzīns</w:t>
            </w:r>
          </w:p>
        </w:tc>
        <w:tc>
          <w:tcPr>
            <w:tcW w:w="2296" w:type="dxa"/>
          </w:tcPr>
          <w:p w14:paraId="4633946C" w14:textId="77777777" w:rsidR="001206C5" w:rsidRPr="00EB4349" w:rsidRDefault="005E5BC1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0,0443</w:t>
            </w:r>
          </w:p>
        </w:tc>
        <w:tc>
          <w:tcPr>
            <w:tcW w:w="1985" w:type="dxa"/>
            <w:vAlign w:val="center"/>
          </w:tcPr>
          <w:p w14:paraId="43D1C894" w14:textId="77777777" w:rsidR="001206C5" w:rsidRPr="00EB4349" w:rsidRDefault="001206C5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B434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71,18</w:t>
            </w:r>
          </w:p>
        </w:tc>
        <w:tc>
          <w:tcPr>
            <w:tcW w:w="1843" w:type="dxa"/>
            <w:vAlign w:val="center"/>
          </w:tcPr>
          <w:p w14:paraId="6208AB55" w14:textId="77777777" w:rsidR="001206C5" w:rsidRPr="00EB4349" w:rsidRDefault="00006418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0,72</w:t>
            </w:r>
          </w:p>
        </w:tc>
      </w:tr>
      <w:tr w:rsidR="001206C5" w:rsidRPr="00EB4349" w14:paraId="0D579F01" w14:textId="77777777" w:rsidTr="00EF60EA">
        <w:trPr>
          <w:jc w:val="center"/>
        </w:trPr>
        <w:tc>
          <w:tcPr>
            <w:tcW w:w="2235" w:type="dxa"/>
          </w:tcPr>
          <w:p w14:paraId="364348CE" w14:textId="77777777" w:rsidR="001206C5" w:rsidRPr="00EB4349" w:rsidRDefault="001206C5" w:rsidP="00EB434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B434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Sašķidrinātā </w:t>
            </w:r>
            <w:r w:rsidR="009F48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naftas </w:t>
            </w:r>
            <w:r w:rsidRPr="00EB434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gāze</w:t>
            </w:r>
            <w:r w:rsidR="003173F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(LPG)</w:t>
            </w:r>
          </w:p>
        </w:tc>
        <w:tc>
          <w:tcPr>
            <w:tcW w:w="2296" w:type="dxa"/>
            <w:vAlign w:val="center"/>
          </w:tcPr>
          <w:p w14:paraId="4E4CE612" w14:textId="77777777" w:rsidR="001206C5" w:rsidRPr="00EB4349" w:rsidRDefault="005E5BC1" w:rsidP="0022294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0,0473</w:t>
            </w:r>
          </w:p>
        </w:tc>
        <w:tc>
          <w:tcPr>
            <w:tcW w:w="1985" w:type="dxa"/>
            <w:vAlign w:val="center"/>
          </w:tcPr>
          <w:p w14:paraId="772320AB" w14:textId="77777777" w:rsidR="001206C5" w:rsidRPr="00EB4349" w:rsidRDefault="001206C5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B434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63,10</w:t>
            </w:r>
          </w:p>
        </w:tc>
        <w:tc>
          <w:tcPr>
            <w:tcW w:w="1843" w:type="dxa"/>
            <w:vAlign w:val="center"/>
          </w:tcPr>
          <w:p w14:paraId="19A9420D" w14:textId="77777777" w:rsidR="001206C5" w:rsidRPr="00EB4349" w:rsidRDefault="00006418" w:rsidP="009C45B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0,58</w:t>
            </w:r>
          </w:p>
        </w:tc>
      </w:tr>
      <w:tr w:rsidR="000C1F78" w:rsidRPr="00EB4349" w14:paraId="4EACF39B" w14:textId="77777777" w:rsidTr="00EF60EA">
        <w:trPr>
          <w:jc w:val="center"/>
        </w:trPr>
        <w:tc>
          <w:tcPr>
            <w:tcW w:w="2235" w:type="dxa"/>
          </w:tcPr>
          <w:p w14:paraId="757B9844" w14:textId="77777777" w:rsidR="000C1F78" w:rsidRPr="00EB4349" w:rsidRDefault="000C1F78" w:rsidP="00EB434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Saspiestā dabasgāze</w:t>
            </w:r>
            <w:r w:rsidR="003173F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(CNG)</w:t>
            </w:r>
          </w:p>
        </w:tc>
        <w:tc>
          <w:tcPr>
            <w:tcW w:w="2296" w:type="dxa"/>
            <w:vAlign w:val="center"/>
          </w:tcPr>
          <w:p w14:paraId="218D5DAB" w14:textId="77777777" w:rsidR="000C1F78" w:rsidRDefault="003173F2" w:rsidP="0022294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0,0480</w:t>
            </w:r>
          </w:p>
        </w:tc>
        <w:tc>
          <w:tcPr>
            <w:tcW w:w="1985" w:type="dxa"/>
            <w:vAlign w:val="center"/>
          </w:tcPr>
          <w:p w14:paraId="474F316D" w14:textId="77777777" w:rsidR="000C1F78" w:rsidRPr="00EB4349" w:rsidRDefault="003173F2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56,1</w:t>
            </w:r>
          </w:p>
        </w:tc>
        <w:tc>
          <w:tcPr>
            <w:tcW w:w="1843" w:type="dxa"/>
            <w:vAlign w:val="center"/>
          </w:tcPr>
          <w:p w14:paraId="4428074D" w14:textId="77777777" w:rsidR="000C1F78" w:rsidRDefault="007777A6" w:rsidP="009C45B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0,19</w:t>
            </w:r>
          </w:p>
        </w:tc>
      </w:tr>
      <w:tr w:rsidR="000C1F78" w:rsidRPr="00EB4349" w14:paraId="6DC68594" w14:textId="77777777" w:rsidTr="00EF60EA">
        <w:trPr>
          <w:jc w:val="center"/>
        </w:trPr>
        <w:tc>
          <w:tcPr>
            <w:tcW w:w="2235" w:type="dxa"/>
          </w:tcPr>
          <w:p w14:paraId="5C0A6AF5" w14:textId="77777777" w:rsidR="000C1F78" w:rsidRPr="00EB4349" w:rsidRDefault="000C1F78" w:rsidP="00EB434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Sašķidrinātā dabasgāze</w:t>
            </w:r>
            <w:r w:rsidR="003173F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(LNG)</w:t>
            </w:r>
          </w:p>
        </w:tc>
        <w:tc>
          <w:tcPr>
            <w:tcW w:w="2296" w:type="dxa"/>
            <w:vAlign w:val="center"/>
          </w:tcPr>
          <w:p w14:paraId="16B61731" w14:textId="77777777" w:rsidR="000C1F78" w:rsidRDefault="003173F2" w:rsidP="0022294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0,0480</w:t>
            </w:r>
          </w:p>
        </w:tc>
        <w:tc>
          <w:tcPr>
            <w:tcW w:w="1985" w:type="dxa"/>
            <w:vAlign w:val="center"/>
          </w:tcPr>
          <w:p w14:paraId="62A472A3" w14:textId="77777777" w:rsidR="000C1F78" w:rsidRPr="00EB4349" w:rsidRDefault="003173F2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56,1</w:t>
            </w:r>
          </w:p>
        </w:tc>
        <w:tc>
          <w:tcPr>
            <w:tcW w:w="1843" w:type="dxa"/>
            <w:vAlign w:val="center"/>
          </w:tcPr>
          <w:p w14:paraId="59CECE20" w14:textId="77777777" w:rsidR="000C1F78" w:rsidRDefault="003173F2" w:rsidP="003173F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</w:t>
            </w:r>
            <w:r w:rsidR="007777A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46</w:t>
            </w:r>
          </w:p>
        </w:tc>
      </w:tr>
      <w:tr w:rsidR="001206C5" w:rsidRPr="00EB4349" w14:paraId="27BD2FA0" w14:textId="77777777" w:rsidTr="00EF60EA">
        <w:trPr>
          <w:jc w:val="center"/>
        </w:trPr>
        <w:tc>
          <w:tcPr>
            <w:tcW w:w="8359" w:type="dxa"/>
            <w:gridSpan w:val="4"/>
          </w:tcPr>
          <w:p w14:paraId="73FF6471" w14:textId="77777777" w:rsidR="001206C5" w:rsidRPr="00A224AA" w:rsidRDefault="001206C5" w:rsidP="009F482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  <w:r w:rsidRPr="00A224A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Dzelzceļ</w:t>
            </w:r>
            <w:r w:rsidR="009F482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š</w:t>
            </w:r>
          </w:p>
        </w:tc>
      </w:tr>
      <w:tr w:rsidR="001206C5" w:rsidRPr="00EB4349" w14:paraId="4A1D5210" w14:textId="77777777" w:rsidTr="00EF60EA">
        <w:trPr>
          <w:jc w:val="center"/>
        </w:trPr>
        <w:tc>
          <w:tcPr>
            <w:tcW w:w="2235" w:type="dxa"/>
          </w:tcPr>
          <w:p w14:paraId="1FD8C83F" w14:textId="77777777" w:rsidR="001206C5" w:rsidRPr="00EB4349" w:rsidRDefault="001206C5" w:rsidP="00EB434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B434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Dīzeļdegviela</w:t>
            </w:r>
          </w:p>
        </w:tc>
        <w:tc>
          <w:tcPr>
            <w:tcW w:w="2296" w:type="dxa"/>
          </w:tcPr>
          <w:p w14:paraId="5A86D86D" w14:textId="77777777" w:rsidR="001206C5" w:rsidRPr="00EB4349" w:rsidRDefault="005E5BC1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0,0430</w:t>
            </w:r>
          </w:p>
        </w:tc>
        <w:tc>
          <w:tcPr>
            <w:tcW w:w="1985" w:type="dxa"/>
            <w:vAlign w:val="center"/>
          </w:tcPr>
          <w:p w14:paraId="0229A8A4" w14:textId="77777777" w:rsidR="001206C5" w:rsidRPr="00EB4349" w:rsidRDefault="001206C5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B434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74,00</w:t>
            </w:r>
          </w:p>
        </w:tc>
        <w:tc>
          <w:tcPr>
            <w:tcW w:w="1843" w:type="dxa"/>
            <w:vAlign w:val="center"/>
          </w:tcPr>
          <w:p w14:paraId="1337434B" w14:textId="77777777" w:rsidR="001206C5" w:rsidRPr="00EB4349" w:rsidRDefault="00006418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0,83</w:t>
            </w:r>
          </w:p>
        </w:tc>
      </w:tr>
      <w:tr w:rsidR="001206C5" w:rsidRPr="00EB4349" w14:paraId="3A33FF56" w14:textId="77777777" w:rsidTr="00EF60EA">
        <w:trPr>
          <w:jc w:val="center"/>
        </w:trPr>
        <w:tc>
          <w:tcPr>
            <w:tcW w:w="8359" w:type="dxa"/>
            <w:gridSpan w:val="4"/>
          </w:tcPr>
          <w:p w14:paraId="61E21B08" w14:textId="77777777" w:rsidR="001206C5" w:rsidRPr="00A224AA" w:rsidRDefault="009F4824" w:rsidP="00EB4349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Jūras transports</w:t>
            </w:r>
          </w:p>
        </w:tc>
      </w:tr>
      <w:tr w:rsidR="001206C5" w:rsidRPr="00EB4349" w14:paraId="054ECD64" w14:textId="77777777" w:rsidTr="00EF60EA">
        <w:trPr>
          <w:jc w:val="center"/>
        </w:trPr>
        <w:tc>
          <w:tcPr>
            <w:tcW w:w="2235" w:type="dxa"/>
          </w:tcPr>
          <w:p w14:paraId="77D762A0" w14:textId="77777777" w:rsidR="001206C5" w:rsidRPr="00EB4349" w:rsidRDefault="001206C5" w:rsidP="00EB434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B434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Dīzeļdegviela</w:t>
            </w:r>
          </w:p>
        </w:tc>
        <w:tc>
          <w:tcPr>
            <w:tcW w:w="2296" w:type="dxa"/>
          </w:tcPr>
          <w:p w14:paraId="1CEF92E8" w14:textId="77777777" w:rsidR="001206C5" w:rsidRPr="00EB4349" w:rsidRDefault="005E5BC1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0,0430</w:t>
            </w:r>
          </w:p>
        </w:tc>
        <w:tc>
          <w:tcPr>
            <w:tcW w:w="1985" w:type="dxa"/>
            <w:vAlign w:val="center"/>
          </w:tcPr>
          <w:p w14:paraId="2DE38EA5" w14:textId="77777777" w:rsidR="001206C5" w:rsidRPr="00EB4349" w:rsidRDefault="001206C5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B434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74,00</w:t>
            </w:r>
          </w:p>
        </w:tc>
        <w:tc>
          <w:tcPr>
            <w:tcW w:w="1843" w:type="dxa"/>
            <w:vAlign w:val="center"/>
          </w:tcPr>
          <w:p w14:paraId="0DE42AE8" w14:textId="77777777" w:rsidR="001206C5" w:rsidRPr="00EB4349" w:rsidRDefault="00006418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0,83</w:t>
            </w:r>
          </w:p>
        </w:tc>
      </w:tr>
      <w:tr w:rsidR="001206C5" w:rsidRPr="00EB4349" w14:paraId="342CDF18" w14:textId="77777777" w:rsidTr="00EF60EA">
        <w:trPr>
          <w:jc w:val="center"/>
        </w:trPr>
        <w:tc>
          <w:tcPr>
            <w:tcW w:w="2235" w:type="dxa"/>
          </w:tcPr>
          <w:p w14:paraId="3B2A3744" w14:textId="77777777" w:rsidR="001206C5" w:rsidRPr="00EB4349" w:rsidRDefault="001206C5" w:rsidP="00EB434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B434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Autobenzīns</w:t>
            </w:r>
          </w:p>
        </w:tc>
        <w:tc>
          <w:tcPr>
            <w:tcW w:w="2296" w:type="dxa"/>
          </w:tcPr>
          <w:p w14:paraId="5D96FF8C" w14:textId="77777777" w:rsidR="001206C5" w:rsidRPr="00EB4349" w:rsidRDefault="005E5BC1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0,0443</w:t>
            </w:r>
          </w:p>
        </w:tc>
        <w:tc>
          <w:tcPr>
            <w:tcW w:w="1985" w:type="dxa"/>
            <w:vAlign w:val="center"/>
          </w:tcPr>
          <w:p w14:paraId="04D68185" w14:textId="77777777" w:rsidR="001206C5" w:rsidRPr="00EB4349" w:rsidRDefault="001206C5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B434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69,30</w:t>
            </w:r>
          </w:p>
        </w:tc>
        <w:tc>
          <w:tcPr>
            <w:tcW w:w="1843" w:type="dxa"/>
            <w:vAlign w:val="center"/>
          </w:tcPr>
          <w:p w14:paraId="34336EC2" w14:textId="77777777" w:rsidR="001206C5" w:rsidRPr="00EB4349" w:rsidRDefault="00006418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0,72</w:t>
            </w:r>
          </w:p>
        </w:tc>
      </w:tr>
      <w:tr w:rsidR="009F4824" w:rsidRPr="00EB4349" w14:paraId="59C3422C" w14:textId="77777777" w:rsidTr="00EF60EA">
        <w:trPr>
          <w:jc w:val="center"/>
        </w:trPr>
        <w:tc>
          <w:tcPr>
            <w:tcW w:w="8359" w:type="dxa"/>
            <w:gridSpan w:val="4"/>
          </w:tcPr>
          <w:p w14:paraId="387774A9" w14:textId="77777777" w:rsidR="009F4824" w:rsidRPr="00A224AA" w:rsidRDefault="009F4824" w:rsidP="009F482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Bezceļa transports</w:t>
            </w:r>
          </w:p>
        </w:tc>
      </w:tr>
      <w:tr w:rsidR="009F4824" w:rsidRPr="00EB4349" w14:paraId="0153B15C" w14:textId="77777777" w:rsidTr="00EF60EA">
        <w:trPr>
          <w:jc w:val="center"/>
        </w:trPr>
        <w:tc>
          <w:tcPr>
            <w:tcW w:w="2235" w:type="dxa"/>
          </w:tcPr>
          <w:p w14:paraId="32CE7677" w14:textId="77777777" w:rsidR="009F4824" w:rsidRPr="00EB4349" w:rsidRDefault="009F4824" w:rsidP="00EB434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B434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Dīzeļdegviela</w:t>
            </w:r>
          </w:p>
        </w:tc>
        <w:tc>
          <w:tcPr>
            <w:tcW w:w="2296" w:type="dxa"/>
          </w:tcPr>
          <w:p w14:paraId="35A37CF6" w14:textId="77777777" w:rsidR="009F4824" w:rsidRPr="00EB4349" w:rsidRDefault="009F4824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0,0430</w:t>
            </w:r>
          </w:p>
        </w:tc>
        <w:tc>
          <w:tcPr>
            <w:tcW w:w="1985" w:type="dxa"/>
            <w:vAlign w:val="center"/>
          </w:tcPr>
          <w:p w14:paraId="5BFDB904" w14:textId="77777777" w:rsidR="009F4824" w:rsidRPr="00EB4349" w:rsidRDefault="009F4824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B434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74,10</w:t>
            </w:r>
          </w:p>
        </w:tc>
        <w:tc>
          <w:tcPr>
            <w:tcW w:w="1843" w:type="dxa"/>
            <w:vAlign w:val="center"/>
          </w:tcPr>
          <w:p w14:paraId="2FAFAB84" w14:textId="77777777" w:rsidR="009F4824" w:rsidRPr="00EB4349" w:rsidRDefault="00006418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0,83</w:t>
            </w:r>
          </w:p>
        </w:tc>
      </w:tr>
      <w:tr w:rsidR="009F4824" w:rsidRPr="00EB4349" w14:paraId="07F22412" w14:textId="77777777" w:rsidTr="00EF60EA">
        <w:trPr>
          <w:jc w:val="center"/>
        </w:trPr>
        <w:tc>
          <w:tcPr>
            <w:tcW w:w="2235" w:type="dxa"/>
          </w:tcPr>
          <w:p w14:paraId="02C7D810" w14:textId="77777777" w:rsidR="009F4824" w:rsidRPr="00EB4349" w:rsidRDefault="009F4824" w:rsidP="000F01D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B434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Autobenzīns</w:t>
            </w:r>
          </w:p>
        </w:tc>
        <w:tc>
          <w:tcPr>
            <w:tcW w:w="2296" w:type="dxa"/>
            <w:vAlign w:val="center"/>
          </w:tcPr>
          <w:p w14:paraId="47B895C9" w14:textId="77777777" w:rsidR="009F4824" w:rsidRPr="00EB4349" w:rsidRDefault="009F4824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0,0443</w:t>
            </w:r>
          </w:p>
        </w:tc>
        <w:tc>
          <w:tcPr>
            <w:tcW w:w="1985" w:type="dxa"/>
            <w:vAlign w:val="center"/>
          </w:tcPr>
          <w:p w14:paraId="0F57194C" w14:textId="77777777" w:rsidR="009F4824" w:rsidRPr="00EB4349" w:rsidRDefault="009F4824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B434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69,30</w:t>
            </w:r>
          </w:p>
        </w:tc>
        <w:tc>
          <w:tcPr>
            <w:tcW w:w="1843" w:type="dxa"/>
            <w:vAlign w:val="center"/>
          </w:tcPr>
          <w:p w14:paraId="1B72389A" w14:textId="77777777" w:rsidR="009F4824" w:rsidRPr="00EB4349" w:rsidRDefault="00006418" w:rsidP="00EB43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0,72</w:t>
            </w:r>
          </w:p>
        </w:tc>
      </w:tr>
    </w:tbl>
    <w:p w14:paraId="6F5E7BE3" w14:textId="0D7E234A" w:rsidR="00527440" w:rsidRDefault="00527440" w:rsidP="00527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6B0C">
        <w:rPr>
          <w:rFonts w:ascii="Times New Roman" w:hAnsi="Times New Roman" w:cs="Times New Roman"/>
          <w:sz w:val="24"/>
          <w:szCs w:val="24"/>
          <w:shd w:val="clear" w:color="auto" w:fill="FFFFFF"/>
        </w:rPr>
        <w:t>Piezīme. * Saskaņā ar Eiropas Komisijas 2012. gada 21. jūnija Regulas Nr.</w:t>
      </w:r>
      <w:r w:rsidRPr="00696B0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3" w:tgtFrame="_blank" w:history="1">
        <w:r w:rsidRPr="00696B0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601/2012</w:t>
        </w:r>
      </w:hyperlink>
      <w:r w:rsidRPr="00696B0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96B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par siltumnīcefekta gāzu emisiju monitoringu un ziņošanu saskaņā ar Eiropas Parlamenta un </w:t>
      </w:r>
      <w:r w:rsidR="0034443E">
        <w:rPr>
          <w:rFonts w:ascii="Times New Roman" w:hAnsi="Times New Roman" w:cs="Times New Roman"/>
          <w:sz w:val="24"/>
          <w:szCs w:val="24"/>
          <w:shd w:val="clear" w:color="auto" w:fill="FFFFFF"/>
        </w:rPr>
        <w:t>Padomes Direktīvas</w:t>
      </w:r>
      <w:r w:rsidRPr="0076419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4" w:tgtFrame="_blank" w:history="1">
        <w:r w:rsidRPr="0076419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2003/87/EK</w:t>
        </w:r>
      </w:hyperlink>
      <w:r w:rsidRPr="0076419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64196">
        <w:rPr>
          <w:rFonts w:ascii="Times New Roman" w:hAnsi="Times New Roman" w:cs="Times New Roman"/>
          <w:sz w:val="24"/>
          <w:szCs w:val="24"/>
          <w:shd w:val="clear" w:color="auto" w:fill="FFFFFF"/>
        </w:rPr>
        <w:t>VI pielikumu.</w:t>
      </w:r>
    </w:p>
    <w:p w14:paraId="16C399E5" w14:textId="2FF57DC5" w:rsidR="00527440" w:rsidRPr="001206C5" w:rsidRDefault="00527440" w:rsidP="00527440">
      <w:pPr>
        <w:pStyle w:val="FootnoteText"/>
        <w:ind w:firstLine="0"/>
        <w:rPr>
          <w:lang w:val="lv-LV"/>
        </w:rPr>
      </w:pPr>
      <w:r w:rsidRPr="00E05654">
        <w:rPr>
          <w:sz w:val="24"/>
          <w:szCs w:val="24"/>
          <w:shd w:val="clear" w:color="auto" w:fill="FFFFFF"/>
          <w:lang w:val="lv-LV"/>
        </w:rPr>
        <w:t xml:space="preserve">** </w:t>
      </w:r>
      <w:r w:rsidRPr="001206C5">
        <w:rPr>
          <w:rFonts w:eastAsiaTheme="minorEastAsia"/>
          <w:color w:val="000000" w:themeColor="text1"/>
          <w:sz w:val="24"/>
          <w:szCs w:val="24"/>
          <w:lang w:val="lv-LV"/>
        </w:rPr>
        <w:t xml:space="preserve">Saskaņā ar </w:t>
      </w:r>
      <w:r w:rsidRPr="001206C5">
        <w:rPr>
          <w:sz w:val="24"/>
          <w:szCs w:val="24"/>
          <w:lang w:val="lv-LV"/>
        </w:rPr>
        <w:t>Klimata pārmaiņu starpvaldību padomes</w:t>
      </w:r>
      <w:r w:rsidRPr="001206C5">
        <w:rPr>
          <w:rFonts w:eastAsiaTheme="minorEastAsia"/>
          <w:color w:val="000000" w:themeColor="text1"/>
          <w:sz w:val="24"/>
          <w:szCs w:val="24"/>
          <w:lang w:val="lv-LV"/>
        </w:rPr>
        <w:t xml:space="preserve"> (</w:t>
      </w:r>
      <w:r w:rsidRPr="00DD1C7B">
        <w:rPr>
          <w:rFonts w:eastAsiaTheme="minorEastAsia"/>
          <w:i/>
          <w:color w:val="000000" w:themeColor="text1"/>
          <w:sz w:val="24"/>
          <w:szCs w:val="24"/>
          <w:lang w:val="lv-LV"/>
        </w:rPr>
        <w:t>IPCC</w:t>
      </w:r>
      <w:r w:rsidRPr="001206C5">
        <w:rPr>
          <w:rFonts w:eastAsiaTheme="minorEastAsia"/>
          <w:color w:val="000000" w:themeColor="text1"/>
          <w:sz w:val="24"/>
          <w:szCs w:val="24"/>
          <w:lang w:val="lv-LV"/>
        </w:rPr>
        <w:t xml:space="preserve">) </w:t>
      </w:r>
      <w:r w:rsidR="005A30FB" w:rsidRPr="005A30FB">
        <w:rPr>
          <w:color w:val="000000" w:themeColor="text1"/>
          <w:sz w:val="24"/>
          <w:szCs w:val="24"/>
          <w:lang w:val="lv-LV"/>
        </w:rPr>
        <w:t xml:space="preserve">2006. gada </w:t>
      </w:r>
      <w:r w:rsidRPr="001206C5">
        <w:rPr>
          <w:rFonts w:eastAsiaTheme="minorEastAsia"/>
          <w:color w:val="000000" w:themeColor="text1"/>
          <w:sz w:val="24"/>
          <w:szCs w:val="24"/>
          <w:lang w:val="lv-LV"/>
        </w:rPr>
        <w:t>metodisko norādījumu par nacionālo siltumnīcefekta gāzu emisiju inventarizāciju.</w:t>
      </w:r>
    </w:p>
    <w:p w14:paraId="68F3A55B" w14:textId="77777777" w:rsidR="00527440" w:rsidRPr="00764196" w:rsidRDefault="00527440" w:rsidP="00527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61B729E" w14:textId="77777777" w:rsidR="00142CA5" w:rsidRPr="00997FE8" w:rsidRDefault="00142CA5" w:rsidP="00EB434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608FA14" w14:textId="0822D13F" w:rsidR="00D745B7" w:rsidRDefault="00570FC4" w:rsidP="00D43F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="00EB4349" w:rsidRPr="00C81DAA">
        <w:rPr>
          <w:rFonts w:ascii="Times New Roman" w:eastAsia="Times New Roman" w:hAnsi="Times New Roman" w:cs="Times New Roman"/>
          <w:bCs/>
          <w:sz w:val="28"/>
          <w:szCs w:val="28"/>
        </w:rPr>
        <w:t>. </w:t>
      </w:r>
      <w:r w:rsidR="006B33B8">
        <w:rPr>
          <w:rFonts w:ascii="Times New Roman" w:eastAsia="Times New Roman" w:hAnsi="Times New Roman" w:cs="Times New Roman"/>
          <w:bCs/>
          <w:sz w:val="28"/>
          <w:szCs w:val="28"/>
        </w:rPr>
        <w:t>CO</w:t>
      </w:r>
      <w:r w:rsidR="006B33B8" w:rsidRPr="00217D6D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2</w:t>
      </w:r>
      <w:r w:rsidR="006B33B8">
        <w:rPr>
          <w:rFonts w:ascii="Times New Roman" w:eastAsia="Times New Roman" w:hAnsi="Times New Roman" w:cs="Times New Roman"/>
          <w:bCs/>
          <w:sz w:val="28"/>
          <w:szCs w:val="28"/>
        </w:rPr>
        <w:t xml:space="preserve"> emisiju apjoms </w:t>
      </w:r>
      <w:r w:rsidR="008701A0">
        <w:rPr>
          <w:rFonts w:ascii="Times New Roman" w:eastAsia="Times New Roman" w:hAnsi="Times New Roman" w:cs="Times New Roman"/>
          <w:bCs/>
          <w:sz w:val="28"/>
          <w:szCs w:val="28"/>
        </w:rPr>
        <w:t>salīdzinot dažādus transportlīdzekļu veidus atkarībā no to izmantotā degvielas veida un pārvadāto pasažieru</w:t>
      </w:r>
      <w:r w:rsidR="005F2D9B">
        <w:rPr>
          <w:rFonts w:ascii="Times New Roman" w:eastAsia="Times New Roman" w:hAnsi="Times New Roman" w:cs="Times New Roman"/>
          <w:bCs/>
          <w:sz w:val="28"/>
          <w:szCs w:val="28"/>
        </w:rPr>
        <w:t xml:space="preserve"> skaita</w:t>
      </w:r>
      <w:r w:rsidR="00D43F1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616EB392" w14:textId="0EFB00F5" w:rsidR="00D745B7" w:rsidRDefault="00D745B7" w:rsidP="00F25C51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 w:rsidR="00800CB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tabula</w:t>
      </w:r>
    </w:p>
    <w:tbl>
      <w:tblPr>
        <w:tblStyle w:val="TableGrid"/>
        <w:tblW w:w="8603" w:type="dxa"/>
        <w:jc w:val="center"/>
        <w:tblLayout w:type="fixed"/>
        <w:tblLook w:val="04A0" w:firstRow="1" w:lastRow="0" w:firstColumn="1" w:lastColumn="0" w:noHBand="0" w:noVBand="1"/>
      </w:tblPr>
      <w:tblGrid>
        <w:gridCol w:w="2034"/>
        <w:gridCol w:w="2921"/>
        <w:gridCol w:w="1843"/>
        <w:gridCol w:w="1805"/>
      </w:tblGrid>
      <w:tr w:rsidR="00313F49" w:rsidRPr="00DF705D" w14:paraId="186AAD2E" w14:textId="77777777" w:rsidTr="00313F49">
        <w:trPr>
          <w:tblHeader/>
          <w:jc w:val="center"/>
        </w:trPr>
        <w:tc>
          <w:tcPr>
            <w:tcW w:w="4955" w:type="dxa"/>
            <w:gridSpan w:val="2"/>
            <w:vAlign w:val="center"/>
          </w:tcPr>
          <w:p w14:paraId="6EEBCDDD" w14:textId="77777777" w:rsidR="00313F49" w:rsidRPr="00F25C51" w:rsidRDefault="00313F49" w:rsidP="008701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Vieglā autotransporta un </w:t>
            </w:r>
            <w:r w:rsidRPr="00F25C51">
              <w:rPr>
                <w:rFonts w:ascii="Times New Roman" w:hAnsi="Times New Roman" w:cs="Times New Roman"/>
                <w:sz w:val="28"/>
                <w:szCs w:val="28"/>
              </w:rPr>
              <w:t>sabiedriskā transporta veids</w:t>
            </w:r>
          </w:p>
        </w:tc>
        <w:tc>
          <w:tcPr>
            <w:tcW w:w="1843" w:type="dxa"/>
            <w:vAlign w:val="center"/>
          </w:tcPr>
          <w:p w14:paraId="674591B7" w14:textId="789CDEB5" w:rsidR="00313F49" w:rsidRPr="00F25C51" w:rsidRDefault="00313F49" w:rsidP="00324F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C51">
              <w:rPr>
                <w:rFonts w:ascii="Times New Roman" w:hAnsi="Times New Roman" w:cs="Times New Roman"/>
                <w:sz w:val="28"/>
                <w:szCs w:val="28"/>
              </w:rPr>
              <w:t>CO</w:t>
            </w:r>
            <w:r w:rsidRPr="00F25C5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25C51">
              <w:rPr>
                <w:rFonts w:ascii="Times New Roman" w:hAnsi="Times New Roman" w:cs="Times New Roman"/>
                <w:sz w:val="28"/>
                <w:szCs w:val="28"/>
              </w:rPr>
              <w:t xml:space="preserve"> emisijas apjoms, </w:t>
            </w:r>
            <w:r w:rsidR="00760B22">
              <w:rPr>
                <w:rFonts w:ascii="Times New Roman" w:hAnsi="Times New Roman" w:cs="Times New Roman"/>
                <w:sz w:val="28"/>
                <w:szCs w:val="28"/>
              </w:rPr>
              <w:t>k</w:t>
            </w:r>
            <w:r w:rsidRPr="00F25C51">
              <w:rPr>
                <w:rFonts w:ascii="Times New Roman" w:hAnsi="Times New Roman" w:cs="Times New Roman"/>
                <w:sz w:val="28"/>
                <w:szCs w:val="28"/>
              </w:rPr>
              <w:t>gCO</w:t>
            </w:r>
            <w:r w:rsidRPr="00F25C5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25C51">
              <w:rPr>
                <w:rFonts w:ascii="Times New Roman" w:hAnsi="Times New Roman" w:cs="Times New Roman"/>
                <w:sz w:val="28"/>
                <w:szCs w:val="28"/>
              </w:rPr>
              <w:t>/km</w:t>
            </w:r>
          </w:p>
        </w:tc>
        <w:tc>
          <w:tcPr>
            <w:tcW w:w="1805" w:type="dxa"/>
            <w:vAlign w:val="center"/>
          </w:tcPr>
          <w:p w14:paraId="72F41230" w14:textId="77777777" w:rsidR="00313F49" w:rsidRPr="00F25C51" w:rsidRDefault="00313F49" w:rsidP="00313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Piezīmes</w:t>
            </w:r>
          </w:p>
        </w:tc>
      </w:tr>
      <w:tr w:rsidR="00760B22" w:rsidRPr="00DF705D" w14:paraId="7F9959A0" w14:textId="77777777" w:rsidTr="00760B22">
        <w:trPr>
          <w:jc w:val="center"/>
        </w:trPr>
        <w:tc>
          <w:tcPr>
            <w:tcW w:w="2034" w:type="dxa"/>
            <w:vMerge w:val="restart"/>
            <w:vAlign w:val="center"/>
          </w:tcPr>
          <w:p w14:paraId="4F828D5C" w14:textId="77777777" w:rsidR="00760B22" w:rsidRPr="00F25C51" w:rsidRDefault="00760B22" w:rsidP="00324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Vieglais autotransports* </w:t>
            </w:r>
          </w:p>
        </w:tc>
        <w:tc>
          <w:tcPr>
            <w:tcW w:w="2921" w:type="dxa"/>
            <w:vAlign w:val="center"/>
          </w:tcPr>
          <w:p w14:paraId="5E75DF7B" w14:textId="77777777" w:rsidR="00760B22" w:rsidRPr="00F25C51" w:rsidRDefault="00760B22" w:rsidP="00324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C51">
              <w:rPr>
                <w:rFonts w:ascii="Times New Roman" w:hAnsi="Times New Roman" w:cs="Times New Roman"/>
                <w:sz w:val="28"/>
                <w:szCs w:val="28"/>
              </w:rPr>
              <w:t>Dīzeļdegviela</w:t>
            </w:r>
          </w:p>
        </w:tc>
        <w:tc>
          <w:tcPr>
            <w:tcW w:w="1843" w:type="dxa"/>
            <w:vAlign w:val="center"/>
          </w:tcPr>
          <w:p w14:paraId="6B0B6273" w14:textId="7D80732C" w:rsidR="00760B22" w:rsidRPr="00760B22" w:rsidRDefault="00760B22" w:rsidP="0076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B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0,0725</w:t>
            </w:r>
          </w:p>
        </w:tc>
        <w:tc>
          <w:tcPr>
            <w:tcW w:w="1805" w:type="dxa"/>
            <w:vAlign w:val="center"/>
          </w:tcPr>
          <w:p w14:paraId="2ECCBDC7" w14:textId="77777777" w:rsidR="00760B22" w:rsidRPr="00313F49" w:rsidRDefault="00760B22" w:rsidP="00895F34">
            <w:pPr>
              <w:jc w:val="center"/>
              <w:rPr>
                <w:rFonts w:ascii="Times New Roman" w:hAnsi="Times New Roman" w:cs="Times New Roman"/>
              </w:rPr>
            </w:pPr>
            <w:r w:rsidRPr="00313F49">
              <w:rPr>
                <w:rFonts w:ascii="Times New Roman" w:hAnsi="Times New Roman" w:cs="Times New Roman"/>
              </w:rPr>
              <w:t>145gCO</w:t>
            </w:r>
            <w:r w:rsidRPr="00895F34">
              <w:rPr>
                <w:rFonts w:ascii="Times New Roman" w:hAnsi="Times New Roman" w:cs="Times New Roman"/>
                <w:vertAlign w:val="subscript"/>
              </w:rPr>
              <w:t>2</w:t>
            </w:r>
            <w:r w:rsidRPr="00313F49">
              <w:rPr>
                <w:rFonts w:ascii="Times New Roman" w:hAnsi="Times New Roman" w:cs="Times New Roman"/>
              </w:rPr>
              <w:t>/km, 2 pasažieri</w:t>
            </w:r>
          </w:p>
        </w:tc>
      </w:tr>
      <w:tr w:rsidR="00760B22" w:rsidRPr="00DF705D" w14:paraId="16810C47" w14:textId="77777777" w:rsidTr="00760B22">
        <w:trPr>
          <w:jc w:val="center"/>
        </w:trPr>
        <w:tc>
          <w:tcPr>
            <w:tcW w:w="2034" w:type="dxa"/>
            <w:vMerge/>
            <w:vAlign w:val="center"/>
          </w:tcPr>
          <w:p w14:paraId="39104344" w14:textId="77777777" w:rsidR="00760B22" w:rsidRPr="00DF705D" w:rsidRDefault="00760B22" w:rsidP="00324F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3FF15029" w14:textId="77777777" w:rsidR="00760B22" w:rsidRPr="00F25C51" w:rsidRDefault="00760B22" w:rsidP="00324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C51">
              <w:rPr>
                <w:rFonts w:ascii="Times New Roman" w:hAnsi="Times New Roman" w:cs="Times New Roman"/>
                <w:sz w:val="28"/>
                <w:szCs w:val="28"/>
              </w:rPr>
              <w:t>Autobenzīns</w:t>
            </w:r>
          </w:p>
        </w:tc>
        <w:tc>
          <w:tcPr>
            <w:tcW w:w="1843" w:type="dxa"/>
            <w:vAlign w:val="center"/>
          </w:tcPr>
          <w:p w14:paraId="279D012C" w14:textId="43CF5F09" w:rsidR="00760B22" w:rsidRPr="00760B22" w:rsidRDefault="00760B22" w:rsidP="0076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B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0,0925</w:t>
            </w:r>
          </w:p>
        </w:tc>
        <w:tc>
          <w:tcPr>
            <w:tcW w:w="1805" w:type="dxa"/>
            <w:vAlign w:val="center"/>
          </w:tcPr>
          <w:p w14:paraId="4D42CB60" w14:textId="77777777" w:rsidR="00760B22" w:rsidRPr="00313F49" w:rsidRDefault="00760B22" w:rsidP="00895F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  <w:r w:rsidRPr="00313F49">
              <w:rPr>
                <w:rFonts w:ascii="Times New Roman" w:hAnsi="Times New Roman" w:cs="Times New Roman"/>
              </w:rPr>
              <w:t>gCO</w:t>
            </w:r>
            <w:r w:rsidRPr="00895F34">
              <w:rPr>
                <w:rFonts w:ascii="Times New Roman" w:hAnsi="Times New Roman" w:cs="Times New Roman"/>
                <w:vertAlign w:val="subscript"/>
              </w:rPr>
              <w:t>2</w:t>
            </w:r>
            <w:r w:rsidRPr="00313F49">
              <w:rPr>
                <w:rFonts w:ascii="Times New Roman" w:hAnsi="Times New Roman" w:cs="Times New Roman"/>
              </w:rPr>
              <w:t>/km, 2 pas</w:t>
            </w:r>
            <w:r>
              <w:rPr>
                <w:rFonts w:ascii="Times New Roman" w:hAnsi="Times New Roman" w:cs="Times New Roman"/>
              </w:rPr>
              <w:t>a</w:t>
            </w:r>
            <w:r w:rsidRPr="00313F49">
              <w:rPr>
                <w:rFonts w:ascii="Times New Roman" w:hAnsi="Times New Roman" w:cs="Times New Roman"/>
              </w:rPr>
              <w:t>žieri</w:t>
            </w:r>
          </w:p>
        </w:tc>
      </w:tr>
      <w:tr w:rsidR="00760B22" w:rsidRPr="00DF705D" w14:paraId="55D5F7AD" w14:textId="77777777" w:rsidTr="00760B22">
        <w:trPr>
          <w:jc w:val="center"/>
        </w:trPr>
        <w:tc>
          <w:tcPr>
            <w:tcW w:w="2034" w:type="dxa"/>
            <w:vMerge/>
            <w:vAlign w:val="center"/>
          </w:tcPr>
          <w:p w14:paraId="6FC0B092" w14:textId="77777777" w:rsidR="00760B22" w:rsidRPr="00DF705D" w:rsidRDefault="00760B22" w:rsidP="00324F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4E42B465" w14:textId="77777777" w:rsidR="00760B22" w:rsidRPr="00F25C51" w:rsidRDefault="00760B22" w:rsidP="00324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C51">
              <w:rPr>
                <w:rFonts w:ascii="Times New Roman" w:hAnsi="Times New Roman" w:cs="Times New Roman"/>
                <w:sz w:val="28"/>
                <w:szCs w:val="28"/>
              </w:rPr>
              <w:t>Sašķidrinātā naftas gāze (LPG)</w:t>
            </w:r>
          </w:p>
        </w:tc>
        <w:tc>
          <w:tcPr>
            <w:tcW w:w="1843" w:type="dxa"/>
            <w:vAlign w:val="center"/>
          </w:tcPr>
          <w:p w14:paraId="700F5B22" w14:textId="057DC672" w:rsidR="00760B22" w:rsidRPr="00760B22" w:rsidRDefault="00760B22" w:rsidP="0076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B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0,0800</w:t>
            </w:r>
          </w:p>
        </w:tc>
        <w:tc>
          <w:tcPr>
            <w:tcW w:w="1805" w:type="dxa"/>
            <w:vAlign w:val="center"/>
          </w:tcPr>
          <w:p w14:paraId="18281C64" w14:textId="77777777" w:rsidR="00760B22" w:rsidRPr="00313F49" w:rsidRDefault="00760B22" w:rsidP="00895F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160gCO</w:t>
            </w:r>
            <w:r w:rsidRPr="00895F34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/km, 2 pasažieri</w:t>
            </w:r>
          </w:p>
        </w:tc>
      </w:tr>
      <w:tr w:rsidR="00760B22" w:rsidRPr="00DF705D" w14:paraId="4A60F3E9" w14:textId="77777777" w:rsidTr="00760B22">
        <w:trPr>
          <w:jc w:val="center"/>
        </w:trPr>
        <w:tc>
          <w:tcPr>
            <w:tcW w:w="2034" w:type="dxa"/>
            <w:vMerge/>
            <w:vAlign w:val="center"/>
          </w:tcPr>
          <w:p w14:paraId="0C8B8F67" w14:textId="77777777" w:rsidR="00760B22" w:rsidRPr="00DF705D" w:rsidRDefault="00760B22" w:rsidP="00324F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610916F1" w14:textId="77777777" w:rsidR="00760B22" w:rsidRPr="00F25C51" w:rsidRDefault="00760B22" w:rsidP="00324F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C51">
              <w:rPr>
                <w:rFonts w:ascii="Times New Roman" w:hAnsi="Times New Roman" w:cs="Times New Roman"/>
                <w:sz w:val="28"/>
                <w:szCs w:val="28"/>
              </w:rPr>
              <w:t>Saspiestā dabasgāze (CNG)</w:t>
            </w:r>
          </w:p>
        </w:tc>
        <w:tc>
          <w:tcPr>
            <w:tcW w:w="1843" w:type="dxa"/>
            <w:vAlign w:val="center"/>
          </w:tcPr>
          <w:p w14:paraId="34C2020E" w14:textId="4532C5A7" w:rsidR="00760B22" w:rsidRPr="00760B22" w:rsidRDefault="00760B22" w:rsidP="0076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B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0,0815</w:t>
            </w:r>
          </w:p>
        </w:tc>
        <w:tc>
          <w:tcPr>
            <w:tcW w:w="1805" w:type="dxa"/>
            <w:vAlign w:val="center"/>
          </w:tcPr>
          <w:p w14:paraId="11D59926" w14:textId="77777777" w:rsidR="00760B22" w:rsidRPr="00313F49" w:rsidRDefault="00760B22" w:rsidP="00895F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163gCO</w:t>
            </w:r>
            <w:r w:rsidRPr="00895F34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/km, 2 pasažieri</w:t>
            </w:r>
          </w:p>
        </w:tc>
      </w:tr>
      <w:tr w:rsidR="00760B22" w:rsidRPr="00DF705D" w14:paraId="4BEC529D" w14:textId="77777777" w:rsidTr="00760B22">
        <w:trPr>
          <w:jc w:val="center"/>
        </w:trPr>
        <w:tc>
          <w:tcPr>
            <w:tcW w:w="2034" w:type="dxa"/>
            <w:vMerge w:val="restart"/>
            <w:vAlign w:val="center"/>
          </w:tcPr>
          <w:p w14:paraId="047A18D3" w14:textId="77777777" w:rsidR="00760B22" w:rsidRPr="00217D6D" w:rsidRDefault="00760B22" w:rsidP="00217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Sabiedriskā transporta veids</w:t>
            </w:r>
          </w:p>
        </w:tc>
        <w:tc>
          <w:tcPr>
            <w:tcW w:w="2921" w:type="dxa"/>
            <w:vAlign w:val="center"/>
          </w:tcPr>
          <w:p w14:paraId="5B170EB3" w14:textId="77777777" w:rsidR="00760B22" w:rsidRPr="00F25C51" w:rsidRDefault="00760B22" w:rsidP="00895F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Autobuss (dīzeļdegviela)</w:t>
            </w:r>
          </w:p>
        </w:tc>
        <w:tc>
          <w:tcPr>
            <w:tcW w:w="1843" w:type="dxa"/>
            <w:vAlign w:val="center"/>
          </w:tcPr>
          <w:p w14:paraId="1E9BBDC6" w14:textId="47D56106" w:rsidR="00760B22" w:rsidRPr="00760B22" w:rsidRDefault="00760B22" w:rsidP="0076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B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0,0069</w:t>
            </w:r>
          </w:p>
        </w:tc>
        <w:tc>
          <w:tcPr>
            <w:tcW w:w="1805" w:type="dxa"/>
            <w:vAlign w:val="center"/>
          </w:tcPr>
          <w:p w14:paraId="57CC191D" w14:textId="77777777" w:rsidR="00760B22" w:rsidRPr="00313F49" w:rsidRDefault="00760B22" w:rsidP="00895F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40l/100km, 74tCO</w:t>
            </w:r>
            <w:r w:rsidRPr="005F3A54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/TJ; 153 pasažieri</w:t>
            </w:r>
          </w:p>
        </w:tc>
      </w:tr>
      <w:tr w:rsidR="00760B22" w:rsidRPr="00DF705D" w14:paraId="7AAFBCD8" w14:textId="77777777" w:rsidTr="00760B22">
        <w:trPr>
          <w:jc w:val="center"/>
        </w:trPr>
        <w:tc>
          <w:tcPr>
            <w:tcW w:w="2034" w:type="dxa"/>
            <w:vMerge/>
          </w:tcPr>
          <w:p w14:paraId="442A2C26" w14:textId="77777777" w:rsidR="00760B22" w:rsidRPr="00DF705D" w:rsidRDefault="00760B22" w:rsidP="00324F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20EC82DA" w14:textId="77777777" w:rsidR="00760B22" w:rsidRPr="00F25C51" w:rsidRDefault="00760B22" w:rsidP="00895F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Vilciens (dīzeļdegviela)</w:t>
            </w:r>
          </w:p>
        </w:tc>
        <w:tc>
          <w:tcPr>
            <w:tcW w:w="1843" w:type="dxa"/>
            <w:vAlign w:val="center"/>
          </w:tcPr>
          <w:p w14:paraId="2C649EE4" w14:textId="5FF7F659" w:rsidR="00760B22" w:rsidRPr="00760B22" w:rsidRDefault="00760B22" w:rsidP="0076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B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0,0131</w:t>
            </w:r>
          </w:p>
        </w:tc>
        <w:tc>
          <w:tcPr>
            <w:tcW w:w="1805" w:type="dxa"/>
            <w:vAlign w:val="center"/>
          </w:tcPr>
          <w:p w14:paraId="2B30656C" w14:textId="77777777" w:rsidR="00760B22" w:rsidRPr="00313F49" w:rsidRDefault="00760B22" w:rsidP="00895F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1,73kg/km, 74tCO</w:t>
            </w:r>
            <w:r w:rsidRPr="005F3A54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/TJ, 420 pasažieri</w:t>
            </w:r>
          </w:p>
        </w:tc>
      </w:tr>
      <w:tr w:rsidR="00760B22" w:rsidRPr="00DF705D" w14:paraId="44AF2856" w14:textId="77777777" w:rsidTr="00760B22">
        <w:trPr>
          <w:jc w:val="center"/>
        </w:trPr>
        <w:tc>
          <w:tcPr>
            <w:tcW w:w="2034" w:type="dxa"/>
            <w:vMerge/>
          </w:tcPr>
          <w:p w14:paraId="42EC97CA" w14:textId="77777777" w:rsidR="00760B22" w:rsidRPr="00DF705D" w:rsidRDefault="00760B22" w:rsidP="00324F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0987FAD3" w14:textId="77777777" w:rsidR="00760B22" w:rsidRPr="00F25C51" w:rsidRDefault="00760B22" w:rsidP="00895F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Vilciens (elektrība)</w:t>
            </w:r>
          </w:p>
        </w:tc>
        <w:tc>
          <w:tcPr>
            <w:tcW w:w="1843" w:type="dxa"/>
            <w:vAlign w:val="center"/>
          </w:tcPr>
          <w:p w14:paraId="40AE2D58" w14:textId="46B2A600" w:rsidR="00760B22" w:rsidRPr="00760B22" w:rsidRDefault="00760B22" w:rsidP="0076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B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0,0032</w:t>
            </w:r>
          </w:p>
        </w:tc>
        <w:tc>
          <w:tcPr>
            <w:tcW w:w="1805" w:type="dxa"/>
            <w:vAlign w:val="center"/>
          </w:tcPr>
          <w:p w14:paraId="750E67C0" w14:textId="77777777" w:rsidR="00760B22" w:rsidRPr="00313F49" w:rsidRDefault="00760B22" w:rsidP="00895F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12,31kWh/km, 109gCO</w:t>
            </w:r>
            <w:r w:rsidRPr="00895F34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/kWh, 420 pasažieri</w:t>
            </w:r>
          </w:p>
        </w:tc>
      </w:tr>
      <w:tr w:rsidR="00760B22" w:rsidRPr="00DF705D" w14:paraId="4D26BE50" w14:textId="77777777" w:rsidTr="00760B22">
        <w:trPr>
          <w:jc w:val="center"/>
        </w:trPr>
        <w:tc>
          <w:tcPr>
            <w:tcW w:w="2034" w:type="dxa"/>
            <w:vMerge/>
          </w:tcPr>
          <w:p w14:paraId="0EAB4130" w14:textId="77777777" w:rsidR="00760B22" w:rsidRPr="00DF705D" w:rsidRDefault="00760B22" w:rsidP="00324F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5AF08F06" w14:textId="77777777" w:rsidR="00760B22" w:rsidRPr="00F25C51" w:rsidRDefault="00760B22" w:rsidP="00895F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Tramvajs (2 vagoni)</w:t>
            </w:r>
          </w:p>
        </w:tc>
        <w:tc>
          <w:tcPr>
            <w:tcW w:w="1843" w:type="dxa"/>
            <w:vAlign w:val="center"/>
          </w:tcPr>
          <w:p w14:paraId="59ABC90C" w14:textId="4E971688" w:rsidR="00760B22" w:rsidRPr="00760B22" w:rsidRDefault="00760B22" w:rsidP="0076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B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0,0008</w:t>
            </w:r>
          </w:p>
        </w:tc>
        <w:tc>
          <w:tcPr>
            <w:tcW w:w="1805" w:type="dxa"/>
            <w:vAlign w:val="center"/>
          </w:tcPr>
          <w:p w14:paraId="2E4CB278" w14:textId="77777777" w:rsidR="00760B22" w:rsidRDefault="00760B22" w:rsidP="00895F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2,46kWh/km, 109gCO</w:t>
            </w:r>
            <w:r w:rsidRPr="00895F34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/kWh,</w:t>
            </w:r>
          </w:p>
          <w:p w14:paraId="4F6768A7" w14:textId="77777777" w:rsidR="00760B22" w:rsidRPr="00313F49" w:rsidRDefault="00760B22" w:rsidP="00895F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 pasažieri</w:t>
            </w:r>
          </w:p>
        </w:tc>
      </w:tr>
      <w:tr w:rsidR="00760B22" w:rsidRPr="00DF705D" w14:paraId="047F7B22" w14:textId="77777777" w:rsidTr="00760B22">
        <w:trPr>
          <w:jc w:val="center"/>
        </w:trPr>
        <w:tc>
          <w:tcPr>
            <w:tcW w:w="2034" w:type="dxa"/>
            <w:vMerge/>
          </w:tcPr>
          <w:p w14:paraId="625FCF43" w14:textId="77777777" w:rsidR="00760B22" w:rsidRPr="00DF705D" w:rsidRDefault="00760B22" w:rsidP="00324F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109F3321" w14:textId="77777777" w:rsidR="00760B22" w:rsidRDefault="00760B22" w:rsidP="00895F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Tramvajs (zemās grīdas)</w:t>
            </w:r>
          </w:p>
        </w:tc>
        <w:tc>
          <w:tcPr>
            <w:tcW w:w="1843" w:type="dxa"/>
            <w:vAlign w:val="center"/>
          </w:tcPr>
          <w:p w14:paraId="46794125" w14:textId="154832A8" w:rsidR="00760B22" w:rsidRPr="00760B22" w:rsidRDefault="00760B22" w:rsidP="0076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B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0,0026</w:t>
            </w:r>
          </w:p>
        </w:tc>
        <w:tc>
          <w:tcPr>
            <w:tcW w:w="1805" w:type="dxa"/>
            <w:vAlign w:val="center"/>
          </w:tcPr>
          <w:p w14:paraId="34C4FF36" w14:textId="77777777" w:rsidR="00760B22" w:rsidRPr="00313F49" w:rsidRDefault="00760B22" w:rsidP="00895F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7,7kWh/km, 109gCO</w:t>
            </w:r>
            <w:r w:rsidRPr="00895F34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/kWh, 318 pasažieri</w:t>
            </w:r>
          </w:p>
        </w:tc>
      </w:tr>
      <w:tr w:rsidR="00760B22" w:rsidRPr="00DF705D" w14:paraId="3E0011F3" w14:textId="77777777" w:rsidTr="00760B22">
        <w:trPr>
          <w:jc w:val="center"/>
        </w:trPr>
        <w:tc>
          <w:tcPr>
            <w:tcW w:w="2034" w:type="dxa"/>
            <w:vMerge/>
          </w:tcPr>
          <w:p w14:paraId="29A389E4" w14:textId="77777777" w:rsidR="00760B22" w:rsidRPr="00DF705D" w:rsidRDefault="00760B22" w:rsidP="00324F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01EDAEB2" w14:textId="77777777" w:rsidR="00760B22" w:rsidRDefault="00760B22" w:rsidP="00895F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Trolejbuss (standarta)</w:t>
            </w:r>
          </w:p>
        </w:tc>
        <w:tc>
          <w:tcPr>
            <w:tcW w:w="1843" w:type="dxa"/>
            <w:vAlign w:val="center"/>
          </w:tcPr>
          <w:p w14:paraId="1653A55A" w14:textId="0DCC02F1" w:rsidR="00760B22" w:rsidRPr="00760B22" w:rsidRDefault="00760B22" w:rsidP="0076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B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0,0025</w:t>
            </w:r>
          </w:p>
        </w:tc>
        <w:tc>
          <w:tcPr>
            <w:tcW w:w="1805" w:type="dxa"/>
            <w:vAlign w:val="center"/>
          </w:tcPr>
          <w:p w14:paraId="21FB3A80" w14:textId="77777777" w:rsidR="00760B22" w:rsidRPr="00313F49" w:rsidRDefault="00760B22" w:rsidP="00895F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2,47kWh/km, 109gCO</w:t>
            </w:r>
            <w:r w:rsidRPr="00895F34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/kWh, 110 pasažieri</w:t>
            </w:r>
          </w:p>
        </w:tc>
      </w:tr>
      <w:tr w:rsidR="00760B22" w:rsidRPr="00DF705D" w14:paraId="795E1950" w14:textId="77777777" w:rsidTr="00760B22">
        <w:trPr>
          <w:jc w:val="center"/>
        </w:trPr>
        <w:tc>
          <w:tcPr>
            <w:tcW w:w="2034" w:type="dxa"/>
            <w:vMerge/>
          </w:tcPr>
          <w:p w14:paraId="23BD5BC4" w14:textId="77777777" w:rsidR="00760B22" w:rsidRPr="00DF705D" w:rsidRDefault="00760B22" w:rsidP="00324F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3276226E" w14:textId="77777777" w:rsidR="00760B22" w:rsidRDefault="00760B22" w:rsidP="00895F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Trolejbuss (savienotais)</w:t>
            </w:r>
          </w:p>
        </w:tc>
        <w:tc>
          <w:tcPr>
            <w:tcW w:w="1843" w:type="dxa"/>
            <w:vAlign w:val="center"/>
          </w:tcPr>
          <w:p w14:paraId="7913A096" w14:textId="66999BF5" w:rsidR="00760B22" w:rsidRPr="00760B22" w:rsidRDefault="00760B22" w:rsidP="0076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B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0,0016</w:t>
            </w:r>
          </w:p>
        </w:tc>
        <w:tc>
          <w:tcPr>
            <w:tcW w:w="1805" w:type="dxa"/>
            <w:vAlign w:val="center"/>
          </w:tcPr>
          <w:p w14:paraId="01049767" w14:textId="77777777" w:rsidR="00760B22" w:rsidRDefault="00760B22" w:rsidP="00895F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3,21kWh/km, 109gCO</w:t>
            </w:r>
            <w:r w:rsidRPr="00895F34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/kWh,</w:t>
            </w:r>
          </w:p>
          <w:p w14:paraId="2830F61A" w14:textId="77777777" w:rsidR="00760B22" w:rsidRPr="00313F49" w:rsidRDefault="00760B22" w:rsidP="00895F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 pasažieri</w:t>
            </w:r>
          </w:p>
        </w:tc>
      </w:tr>
    </w:tbl>
    <w:p w14:paraId="29FDFD8C" w14:textId="528C9636" w:rsidR="00142CA5" w:rsidRPr="006B33B8" w:rsidRDefault="00313F49" w:rsidP="00D03D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Piezīme: </w:t>
      </w:r>
      <w:r w:rsidR="009F64D4">
        <w:rPr>
          <w:rFonts w:ascii="Times New Roman" w:eastAsia="Times New Roman" w:hAnsi="Times New Roman" w:cs="Times New Roman"/>
          <w:bCs/>
          <w:sz w:val="24"/>
          <w:szCs w:val="24"/>
        </w:rPr>
        <w:t>* </w:t>
      </w:r>
      <w:r w:rsidR="006B33B8" w:rsidRPr="00D03D52">
        <w:rPr>
          <w:rFonts w:ascii="Times New Roman" w:eastAsia="Times New Roman" w:hAnsi="Times New Roman" w:cs="Times New Roman"/>
          <w:bCs/>
          <w:sz w:val="24"/>
          <w:szCs w:val="24"/>
        </w:rPr>
        <w:t>Saskaņā ar Eiropas Komisijas 2015.</w:t>
      </w:r>
      <w:r w:rsidR="0034443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B33B8" w:rsidRPr="00D03D52">
        <w:rPr>
          <w:rFonts w:ascii="Times New Roman" w:eastAsia="Times New Roman" w:hAnsi="Times New Roman" w:cs="Times New Roman"/>
          <w:bCs/>
          <w:sz w:val="24"/>
          <w:szCs w:val="24"/>
        </w:rPr>
        <w:t>gada ziņojumu par Alternatīvo degvielu stāvokli Eiropas Savienības transporta sistēmās.</w:t>
      </w:r>
    </w:p>
    <w:p w14:paraId="0FF4C040" w14:textId="77777777" w:rsidR="00DE7FE7" w:rsidRDefault="00DE7FE7" w:rsidP="00EB434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B80094D" w14:textId="3082F83D" w:rsidR="008701A0" w:rsidRDefault="008701A0" w:rsidP="005F5C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9.</w:t>
      </w:r>
      <w:r w:rsidR="004C3383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CO</w:t>
      </w:r>
      <w:r w:rsidRPr="005F2D9B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emisiju apjoms atkarībā no izmantotā biodegvielas veida</w:t>
      </w:r>
      <w:r w:rsidR="00AB360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56A78">
        <w:rPr>
          <w:rFonts w:ascii="Times New Roman" w:eastAsia="Times New Roman" w:hAnsi="Times New Roman" w:cs="Times New Roman"/>
          <w:bCs/>
          <w:sz w:val="28"/>
          <w:szCs w:val="28"/>
        </w:rPr>
        <w:t>transportlīdzekļos</w:t>
      </w:r>
      <w:r w:rsidR="00D43F1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9F1B5B3" w14:textId="01A0C039" w:rsidR="008701A0" w:rsidRDefault="008701A0" w:rsidP="008701A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 w:rsidR="00800CB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tabula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2693"/>
      </w:tblGrid>
      <w:tr w:rsidR="008701A0" w14:paraId="5E7DEA89" w14:textId="77777777" w:rsidTr="005F2D9B">
        <w:trPr>
          <w:jc w:val="center"/>
        </w:trPr>
        <w:tc>
          <w:tcPr>
            <w:tcW w:w="3085" w:type="dxa"/>
            <w:vAlign w:val="center"/>
          </w:tcPr>
          <w:p w14:paraId="08D46EFE" w14:textId="77777777" w:rsidR="008701A0" w:rsidRDefault="008701A0" w:rsidP="005F2D9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Biodegvielas veids</w:t>
            </w:r>
          </w:p>
        </w:tc>
        <w:tc>
          <w:tcPr>
            <w:tcW w:w="2693" w:type="dxa"/>
          </w:tcPr>
          <w:p w14:paraId="58B2CD61" w14:textId="4595D426" w:rsidR="008701A0" w:rsidRDefault="008701A0" w:rsidP="005F2D9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CO</w:t>
            </w:r>
            <w:r w:rsidRPr="005F2D9B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emisijas apjoms, </w:t>
            </w:r>
            <w:r w:rsidR="004C14C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k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gCO</w:t>
            </w:r>
            <w:r w:rsidRPr="005F2D9B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/km</w:t>
            </w:r>
          </w:p>
        </w:tc>
      </w:tr>
      <w:tr w:rsidR="004C14CA" w14:paraId="53969F20" w14:textId="77777777" w:rsidTr="009A3FBA">
        <w:trPr>
          <w:jc w:val="center"/>
        </w:trPr>
        <w:tc>
          <w:tcPr>
            <w:tcW w:w="3085" w:type="dxa"/>
            <w:vAlign w:val="center"/>
          </w:tcPr>
          <w:p w14:paraId="1F9B83FB" w14:textId="77777777" w:rsidR="004C14CA" w:rsidRDefault="004C14CA" w:rsidP="00EB434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Biogāze</w:t>
            </w:r>
          </w:p>
        </w:tc>
        <w:tc>
          <w:tcPr>
            <w:tcW w:w="2693" w:type="dxa"/>
            <w:vAlign w:val="bottom"/>
          </w:tcPr>
          <w:p w14:paraId="2C22F17A" w14:textId="6D7D972A" w:rsidR="004C14CA" w:rsidRPr="004C14CA" w:rsidRDefault="004C14CA" w:rsidP="00313F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C14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0,03</w:t>
            </w:r>
          </w:p>
        </w:tc>
      </w:tr>
      <w:tr w:rsidR="004C14CA" w14:paraId="39F6A402" w14:textId="77777777" w:rsidTr="009A3FBA">
        <w:trPr>
          <w:jc w:val="center"/>
        </w:trPr>
        <w:tc>
          <w:tcPr>
            <w:tcW w:w="3085" w:type="dxa"/>
            <w:vAlign w:val="center"/>
          </w:tcPr>
          <w:p w14:paraId="5463653E" w14:textId="77777777" w:rsidR="004C14CA" w:rsidRDefault="004C14CA" w:rsidP="00EB434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B</w:t>
            </w:r>
            <w:r w:rsidRPr="00C81DA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iodīzeļdegviela</w:t>
            </w:r>
          </w:p>
        </w:tc>
        <w:tc>
          <w:tcPr>
            <w:tcW w:w="2693" w:type="dxa"/>
            <w:vAlign w:val="bottom"/>
          </w:tcPr>
          <w:p w14:paraId="042FD478" w14:textId="061D1AA0" w:rsidR="004C14CA" w:rsidRPr="004C14CA" w:rsidRDefault="004C14CA" w:rsidP="00313F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C14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0,074</w:t>
            </w:r>
          </w:p>
        </w:tc>
      </w:tr>
      <w:tr w:rsidR="004C14CA" w14:paraId="0CCFD233" w14:textId="77777777" w:rsidTr="009A3FBA">
        <w:trPr>
          <w:jc w:val="center"/>
        </w:trPr>
        <w:tc>
          <w:tcPr>
            <w:tcW w:w="3085" w:type="dxa"/>
            <w:vAlign w:val="center"/>
          </w:tcPr>
          <w:p w14:paraId="45FEC535" w14:textId="77777777" w:rsidR="004C14CA" w:rsidRDefault="004C14CA" w:rsidP="00EB434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B</w:t>
            </w:r>
            <w:r w:rsidRPr="00C81DA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ioetanols</w:t>
            </w:r>
          </w:p>
        </w:tc>
        <w:tc>
          <w:tcPr>
            <w:tcW w:w="2693" w:type="dxa"/>
            <w:vAlign w:val="bottom"/>
          </w:tcPr>
          <w:p w14:paraId="59E04BFB" w14:textId="2593230D" w:rsidR="004C14CA" w:rsidRPr="004C14CA" w:rsidRDefault="004C14CA" w:rsidP="00313F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C14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0,098</w:t>
            </w:r>
          </w:p>
        </w:tc>
      </w:tr>
      <w:tr w:rsidR="004C14CA" w14:paraId="037845F6" w14:textId="77777777" w:rsidTr="009A3FBA">
        <w:trPr>
          <w:jc w:val="center"/>
        </w:trPr>
        <w:tc>
          <w:tcPr>
            <w:tcW w:w="3085" w:type="dxa"/>
            <w:vAlign w:val="center"/>
          </w:tcPr>
          <w:p w14:paraId="1BBFA53A" w14:textId="77777777" w:rsidR="004C14CA" w:rsidRDefault="004C14CA" w:rsidP="00EB434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E85</w:t>
            </w:r>
          </w:p>
        </w:tc>
        <w:tc>
          <w:tcPr>
            <w:tcW w:w="2693" w:type="dxa"/>
            <w:vAlign w:val="bottom"/>
          </w:tcPr>
          <w:p w14:paraId="22326C7A" w14:textId="18B462AC" w:rsidR="004C14CA" w:rsidRPr="004C14CA" w:rsidRDefault="004C14CA" w:rsidP="00313F4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C14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0,116</w:t>
            </w:r>
          </w:p>
        </w:tc>
      </w:tr>
    </w:tbl>
    <w:p w14:paraId="3820A657" w14:textId="766B6975" w:rsidR="008701A0" w:rsidRDefault="008701A0" w:rsidP="00EB434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Piezīme: </w:t>
      </w:r>
      <w:r w:rsidRPr="00D03D52">
        <w:rPr>
          <w:rFonts w:ascii="Times New Roman" w:eastAsia="Times New Roman" w:hAnsi="Times New Roman" w:cs="Times New Roman"/>
          <w:bCs/>
          <w:sz w:val="24"/>
          <w:szCs w:val="24"/>
        </w:rPr>
        <w:t>Saskaņā ar Eiropas Komisijas 2015.</w:t>
      </w:r>
      <w:r w:rsidR="0034443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03D52">
        <w:rPr>
          <w:rFonts w:ascii="Times New Roman" w:eastAsia="Times New Roman" w:hAnsi="Times New Roman" w:cs="Times New Roman"/>
          <w:bCs/>
          <w:sz w:val="24"/>
          <w:szCs w:val="24"/>
        </w:rPr>
        <w:t>gada ziņojumu par Alternatīvo degvielu stāvokli Eiropas Savienības transporta sistēmās.</w:t>
      </w:r>
    </w:p>
    <w:p w14:paraId="579A2561" w14:textId="77777777" w:rsidR="008701A0" w:rsidRPr="00C81DAA" w:rsidRDefault="008701A0" w:rsidP="00EB434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F98E8E8" w14:textId="04F897B2" w:rsidR="00142CA5" w:rsidRPr="00EB4349" w:rsidRDefault="00D43F15" w:rsidP="00DF70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B4349" w:rsidRPr="00C81DAA">
        <w:rPr>
          <w:rFonts w:ascii="Times New Roman" w:hAnsi="Times New Roman" w:cs="Times New Roman"/>
          <w:sz w:val="28"/>
          <w:szCs w:val="28"/>
        </w:rPr>
        <w:t>. </w:t>
      </w:r>
      <w:r w:rsidR="00572E66">
        <w:rPr>
          <w:rFonts w:ascii="Times New Roman" w:hAnsi="Times New Roman" w:cs="Times New Roman"/>
          <w:sz w:val="28"/>
          <w:szCs w:val="28"/>
        </w:rPr>
        <w:t>Lauksaimniecības d</w:t>
      </w:r>
      <w:r w:rsidR="000A21EF" w:rsidRPr="00EB4349">
        <w:rPr>
          <w:rFonts w:ascii="Times New Roman" w:hAnsi="Times New Roman" w:cs="Times New Roman"/>
          <w:sz w:val="28"/>
          <w:szCs w:val="28"/>
        </w:rPr>
        <w:t>zīvnieku gremošanas procesa (zarnu fermentācijas)</w:t>
      </w:r>
      <w:r w:rsidR="000A21EF">
        <w:rPr>
          <w:rFonts w:ascii="Times New Roman" w:hAnsi="Times New Roman" w:cs="Times New Roman"/>
          <w:sz w:val="28"/>
          <w:szCs w:val="28"/>
        </w:rPr>
        <w:t xml:space="preserve"> </w:t>
      </w:r>
      <w:r w:rsidR="00142CA5" w:rsidRPr="00C81DAA">
        <w:rPr>
          <w:rFonts w:ascii="Times New Roman" w:hAnsi="Times New Roman" w:cs="Times New Roman"/>
          <w:sz w:val="28"/>
          <w:szCs w:val="28"/>
        </w:rPr>
        <w:t>CH</w:t>
      </w:r>
      <w:r w:rsidR="00142CA5" w:rsidRPr="00C81DA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142CA5" w:rsidRPr="00C81DAA">
        <w:rPr>
          <w:rFonts w:ascii="Times New Roman" w:hAnsi="Times New Roman" w:cs="Times New Roman"/>
          <w:sz w:val="28"/>
          <w:szCs w:val="28"/>
        </w:rPr>
        <w:t xml:space="preserve"> emisij</w:t>
      </w:r>
      <w:r w:rsidR="000A21EF">
        <w:rPr>
          <w:rFonts w:ascii="Times New Roman" w:hAnsi="Times New Roman" w:cs="Times New Roman"/>
          <w:sz w:val="28"/>
          <w:szCs w:val="28"/>
        </w:rPr>
        <w:t>as</w:t>
      </w:r>
      <w:r w:rsidR="00AB3606">
        <w:rPr>
          <w:rFonts w:ascii="Times New Roman" w:hAnsi="Times New Roman" w:cs="Times New Roman"/>
          <w:sz w:val="28"/>
          <w:szCs w:val="28"/>
        </w:rPr>
        <w:t xml:space="preserve"> faktori.</w:t>
      </w:r>
    </w:p>
    <w:p w14:paraId="382BF0FC" w14:textId="5599A020" w:rsidR="00142CA5" w:rsidRPr="00EB4349" w:rsidRDefault="00D43F15" w:rsidP="00EB43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42CA5" w:rsidRPr="00EB4349">
        <w:rPr>
          <w:rFonts w:ascii="Times New Roman" w:hAnsi="Times New Roman" w:cs="Times New Roman"/>
          <w:sz w:val="28"/>
          <w:szCs w:val="28"/>
        </w:rPr>
        <w:t>.</w:t>
      </w:r>
      <w:r w:rsidR="00800CB1">
        <w:rPr>
          <w:rFonts w:ascii="Times New Roman" w:hAnsi="Times New Roman" w:cs="Times New Roman"/>
          <w:sz w:val="28"/>
          <w:szCs w:val="28"/>
        </w:rPr>
        <w:t xml:space="preserve"> </w:t>
      </w:r>
      <w:r w:rsidR="00142CA5" w:rsidRPr="00EB4349">
        <w:rPr>
          <w:rFonts w:ascii="Times New Roman" w:hAnsi="Times New Roman" w:cs="Times New Roman"/>
          <w:sz w:val="28"/>
          <w:szCs w:val="28"/>
        </w:rPr>
        <w:t>tabula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3686"/>
      </w:tblGrid>
      <w:tr w:rsidR="00FF2DC6" w:rsidRPr="00EB4349" w14:paraId="38975F9C" w14:textId="77777777" w:rsidTr="00FF2DC6">
        <w:trPr>
          <w:jc w:val="center"/>
        </w:trPr>
        <w:tc>
          <w:tcPr>
            <w:tcW w:w="3085" w:type="dxa"/>
            <w:vAlign w:val="center"/>
          </w:tcPr>
          <w:p w14:paraId="08C8D22F" w14:textId="77777777" w:rsidR="00FF2DC6" w:rsidRPr="00EB4349" w:rsidRDefault="00883680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Lauksaimniecības d</w:t>
            </w:r>
            <w:r w:rsidR="00FF2DC6" w:rsidRPr="00EB4349">
              <w:rPr>
                <w:rFonts w:ascii="Times New Roman" w:hAnsi="Times New Roman" w:cs="Times New Roman"/>
                <w:sz w:val="28"/>
                <w:szCs w:val="28"/>
              </w:rPr>
              <w:t>zīvnieki</w:t>
            </w:r>
          </w:p>
        </w:tc>
        <w:tc>
          <w:tcPr>
            <w:tcW w:w="3686" w:type="dxa"/>
            <w:vAlign w:val="center"/>
          </w:tcPr>
          <w:p w14:paraId="1B34185D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CH</w:t>
            </w:r>
            <w:r w:rsidRPr="00EB434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 xml:space="preserve"> emisiju faktors,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CH4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Dz</m:t>
                      </m:r>
                    </m:e>
                  </m:d>
                </m:sub>
              </m:sSub>
            </m:oMath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, kg CH</w:t>
            </w:r>
            <w:r w:rsidRPr="00EB434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83680">
              <w:rPr>
                <w:rFonts w:ascii="Times New Roman" w:hAnsi="Times New Roman" w:cs="Times New Roman"/>
                <w:sz w:val="28"/>
                <w:szCs w:val="28"/>
              </w:rPr>
              <w:t xml:space="preserve">lauksaimniecības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dzīvnieks</w:t>
            </w:r>
          </w:p>
        </w:tc>
      </w:tr>
      <w:tr w:rsidR="00FF2DC6" w:rsidRPr="00EB4349" w14:paraId="4BF187AB" w14:textId="77777777" w:rsidTr="00FF2DC6">
        <w:trPr>
          <w:jc w:val="center"/>
        </w:trPr>
        <w:tc>
          <w:tcPr>
            <w:tcW w:w="3085" w:type="dxa"/>
            <w:vAlign w:val="center"/>
          </w:tcPr>
          <w:p w14:paraId="223BA383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Aitas</w:t>
            </w:r>
          </w:p>
        </w:tc>
        <w:tc>
          <w:tcPr>
            <w:tcW w:w="3686" w:type="dxa"/>
            <w:vAlign w:val="center"/>
          </w:tcPr>
          <w:p w14:paraId="64FCA923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8,00</w:t>
            </w:r>
          </w:p>
        </w:tc>
      </w:tr>
      <w:tr w:rsidR="00FF2DC6" w:rsidRPr="00EB4349" w14:paraId="5D43EABF" w14:textId="77777777" w:rsidTr="00FF2DC6">
        <w:trPr>
          <w:jc w:val="center"/>
        </w:trPr>
        <w:tc>
          <w:tcPr>
            <w:tcW w:w="3085" w:type="dxa"/>
            <w:vAlign w:val="center"/>
          </w:tcPr>
          <w:p w14:paraId="0BEE90CD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Cūkas</w:t>
            </w:r>
          </w:p>
        </w:tc>
        <w:tc>
          <w:tcPr>
            <w:tcW w:w="3686" w:type="dxa"/>
            <w:vAlign w:val="center"/>
          </w:tcPr>
          <w:p w14:paraId="5A35CE9B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1,50</w:t>
            </w:r>
          </w:p>
        </w:tc>
      </w:tr>
      <w:tr w:rsidR="00FF2DC6" w:rsidRPr="00EB4349" w14:paraId="1722FFF8" w14:textId="77777777" w:rsidTr="00FF2DC6">
        <w:trPr>
          <w:jc w:val="center"/>
        </w:trPr>
        <w:tc>
          <w:tcPr>
            <w:tcW w:w="3085" w:type="dxa"/>
            <w:vAlign w:val="center"/>
          </w:tcPr>
          <w:p w14:paraId="11918472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Kazas</w:t>
            </w:r>
          </w:p>
        </w:tc>
        <w:tc>
          <w:tcPr>
            <w:tcW w:w="3686" w:type="dxa"/>
            <w:vAlign w:val="center"/>
          </w:tcPr>
          <w:p w14:paraId="1692C1D7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FF2DC6" w:rsidRPr="00EB4349" w14:paraId="3C17C731" w14:textId="77777777" w:rsidTr="00FF2DC6">
        <w:trPr>
          <w:jc w:val="center"/>
        </w:trPr>
        <w:tc>
          <w:tcPr>
            <w:tcW w:w="3085" w:type="dxa"/>
            <w:vAlign w:val="center"/>
          </w:tcPr>
          <w:p w14:paraId="34C27CAD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Zirgi</w:t>
            </w:r>
          </w:p>
        </w:tc>
        <w:tc>
          <w:tcPr>
            <w:tcW w:w="3686" w:type="dxa"/>
            <w:vAlign w:val="center"/>
          </w:tcPr>
          <w:p w14:paraId="2435B970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18,00</w:t>
            </w:r>
          </w:p>
        </w:tc>
      </w:tr>
      <w:tr w:rsidR="00FF2DC6" w:rsidRPr="00EB4349" w14:paraId="4C4E9D1C" w14:textId="77777777" w:rsidTr="00FF2DC6">
        <w:trPr>
          <w:jc w:val="center"/>
        </w:trPr>
        <w:tc>
          <w:tcPr>
            <w:tcW w:w="3085" w:type="dxa"/>
            <w:vAlign w:val="center"/>
          </w:tcPr>
          <w:p w14:paraId="774183E8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Truši</w:t>
            </w:r>
          </w:p>
        </w:tc>
        <w:tc>
          <w:tcPr>
            <w:tcW w:w="3686" w:type="dxa"/>
            <w:vAlign w:val="center"/>
          </w:tcPr>
          <w:p w14:paraId="276E44B5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0,59</w:t>
            </w:r>
          </w:p>
        </w:tc>
      </w:tr>
      <w:tr w:rsidR="00FF2DC6" w:rsidRPr="00EB4349" w14:paraId="2A087309" w14:textId="77777777" w:rsidTr="00FF2DC6">
        <w:trPr>
          <w:jc w:val="center"/>
        </w:trPr>
        <w:tc>
          <w:tcPr>
            <w:tcW w:w="3085" w:type="dxa"/>
            <w:vAlign w:val="center"/>
          </w:tcPr>
          <w:p w14:paraId="7EEE0E57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Kažokādu dzīvnieki</w:t>
            </w:r>
          </w:p>
        </w:tc>
        <w:tc>
          <w:tcPr>
            <w:tcW w:w="3686" w:type="dxa"/>
            <w:vAlign w:val="center"/>
          </w:tcPr>
          <w:p w14:paraId="0DA91146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  <w:tr w:rsidR="00FF2DC6" w:rsidRPr="00EB4349" w14:paraId="19FCAA50" w14:textId="77777777" w:rsidTr="00FF2DC6">
        <w:trPr>
          <w:jc w:val="center"/>
        </w:trPr>
        <w:tc>
          <w:tcPr>
            <w:tcW w:w="3085" w:type="dxa"/>
            <w:vAlign w:val="center"/>
          </w:tcPr>
          <w:p w14:paraId="2131FA7C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Brieži</w:t>
            </w:r>
          </w:p>
        </w:tc>
        <w:tc>
          <w:tcPr>
            <w:tcW w:w="3686" w:type="dxa"/>
            <w:vAlign w:val="center"/>
          </w:tcPr>
          <w:p w14:paraId="15633533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17,00</w:t>
            </w:r>
          </w:p>
        </w:tc>
      </w:tr>
      <w:tr w:rsidR="00FF2DC6" w:rsidRPr="00EB4349" w14:paraId="51545F75" w14:textId="77777777" w:rsidTr="00FF2DC6">
        <w:trPr>
          <w:jc w:val="center"/>
        </w:trPr>
        <w:tc>
          <w:tcPr>
            <w:tcW w:w="3085" w:type="dxa"/>
            <w:vAlign w:val="center"/>
          </w:tcPr>
          <w:p w14:paraId="0D1E8F2A" w14:textId="368FB288" w:rsidR="00FF2DC6" w:rsidRPr="00EB4349" w:rsidRDefault="00883680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Slaucamās</w:t>
            </w:r>
            <w:r w:rsidR="004C14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2DC6" w:rsidRPr="00EB4349">
              <w:rPr>
                <w:rFonts w:ascii="Times New Roman" w:hAnsi="Times New Roman" w:cs="Times New Roman"/>
                <w:sz w:val="28"/>
                <w:szCs w:val="28"/>
              </w:rPr>
              <w:t>govis</w:t>
            </w:r>
          </w:p>
        </w:tc>
        <w:tc>
          <w:tcPr>
            <w:tcW w:w="3686" w:type="dxa"/>
            <w:vAlign w:val="center"/>
          </w:tcPr>
          <w:p w14:paraId="6866F866" w14:textId="5904FD3E" w:rsidR="00FF2DC6" w:rsidRPr="00EB4349" w:rsidRDefault="004C14CA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 w:rsidR="00FF2DC6" w:rsidRPr="00EB4349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FF2DC6" w:rsidRPr="00EB4349" w14:paraId="4B0D2D06" w14:textId="77777777" w:rsidTr="00FF2DC6">
        <w:trPr>
          <w:jc w:val="center"/>
        </w:trPr>
        <w:tc>
          <w:tcPr>
            <w:tcW w:w="3085" w:type="dxa"/>
            <w:vAlign w:val="center"/>
          </w:tcPr>
          <w:p w14:paraId="2CDEF5C1" w14:textId="77777777" w:rsidR="00FF2DC6" w:rsidRPr="00EB4349" w:rsidRDefault="00883680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Pārējie liellopi</w:t>
            </w:r>
          </w:p>
        </w:tc>
        <w:tc>
          <w:tcPr>
            <w:tcW w:w="3686" w:type="dxa"/>
            <w:vAlign w:val="center"/>
          </w:tcPr>
          <w:p w14:paraId="0086B653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57,00</w:t>
            </w:r>
          </w:p>
        </w:tc>
      </w:tr>
      <w:tr w:rsidR="00FF2DC6" w:rsidRPr="00EB4349" w14:paraId="4325F032" w14:textId="77777777" w:rsidTr="00FF2DC6">
        <w:trPr>
          <w:jc w:val="center"/>
        </w:trPr>
        <w:tc>
          <w:tcPr>
            <w:tcW w:w="3085" w:type="dxa"/>
            <w:vAlign w:val="center"/>
          </w:tcPr>
          <w:p w14:paraId="538512BA" w14:textId="77777777" w:rsidR="00FF2DC6" w:rsidRPr="00EB4349" w:rsidRDefault="00FF2DC6" w:rsidP="00622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Cūkas</w:t>
            </w:r>
          </w:p>
        </w:tc>
        <w:tc>
          <w:tcPr>
            <w:tcW w:w="3686" w:type="dxa"/>
            <w:vAlign w:val="center"/>
          </w:tcPr>
          <w:p w14:paraId="332C3CD1" w14:textId="77777777" w:rsidR="00FF2DC6" w:rsidRPr="00EB4349" w:rsidRDefault="00FF2DC6" w:rsidP="00622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10,80</w:t>
            </w:r>
          </w:p>
        </w:tc>
      </w:tr>
    </w:tbl>
    <w:p w14:paraId="217C98F0" w14:textId="4EBBC6FC" w:rsidR="00142CA5" w:rsidRDefault="00B94CF9" w:rsidP="001403C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03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Piezīme. Saskaņā ar </w:t>
      </w:r>
      <w:r w:rsidRPr="001403CB">
        <w:rPr>
          <w:rFonts w:ascii="Times New Roman" w:hAnsi="Times New Roman" w:cs="Times New Roman"/>
          <w:sz w:val="24"/>
          <w:szCs w:val="24"/>
        </w:rPr>
        <w:t>Klimata pārmaiņu starpvaldību padomes</w:t>
      </w:r>
      <w:r w:rsidRPr="001403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(IPCC)</w:t>
      </w:r>
      <w:r w:rsidR="005A3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A30FB" w:rsidRPr="001403CB">
        <w:rPr>
          <w:rFonts w:ascii="Times New Roman" w:hAnsi="Times New Roman" w:cs="Times New Roman"/>
          <w:color w:val="000000" w:themeColor="text1"/>
          <w:sz w:val="24"/>
          <w:szCs w:val="24"/>
        </w:rPr>
        <w:t>2006.</w:t>
      </w:r>
      <w:r w:rsidR="005A3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A30FB" w:rsidRPr="001403CB">
        <w:rPr>
          <w:rFonts w:ascii="Times New Roman" w:hAnsi="Times New Roman" w:cs="Times New Roman"/>
          <w:color w:val="000000" w:themeColor="text1"/>
          <w:sz w:val="24"/>
          <w:szCs w:val="24"/>
        </w:rPr>
        <w:t>gada</w:t>
      </w:r>
      <w:r w:rsidRPr="001403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metodisko norādījumu par nacionālo siltumnīcefekta gāzu emisiju inventarizāciju.</w:t>
      </w:r>
    </w:p>
    <w:p w14:paraId="440402CF" w14:textId="77777777" w:rsidR="00B94CF9" w:rsidRPr="00EB4349" w:rsidRDefault="00B94CF9" w:rsidP="00EB43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EC8DF2" w14:textId="4FE02DA7" w:rsidR="00142CA5" w:rsidRDefault="00EB4349" w:rsidP="00DF70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4349">
        <w:rPr>
          <w:rFonts w:ascii="Times New Roman" w:hAnsi="Times New Roman" w:cs="Times New Roman"/>
          <w:sz w:val="28"/>
          <w:szCs w:val="28"/>
        </w:rPr>
        <w:t>1</w:t>
      </w:r>
      <w:r w:rsidR="00D76776">
        <w:rPr>
          <w:rFonts w:ascii="Times New Roman" w:hAnsi="Times New Roman" w:cs="Times New Roman"/>
          <w:sz w:val="28"/>
          <w:szCs w:val="28"/>
        </w:rPr>
        <w:t>1</w:t>
      </w:r>
      <w:r w:rsidRPr="00EB4349">
        <w:rPr>
          <w:rFonts w:ascii="Times New Roman" w:hAnsi="Times New Roman" w:cs="Times New Roman"/>
          <w:sz w:val="28"/>
          <w:szCs w:val="28"/>
        </w:rPr>
        <w:t>. </w:t>
      </w:r>
      <w:r w:rsidR="00883680">
        <w:rPr>
          <w:rFonts w:ascii="Times New Roman" w:hAnsi="Times New Roman" w:cs="Times New Roman"/>
          <w:sz w:val="28"/>
          <w:szCs w:val="28"/>
        </w:rPr>
        <w:t>Lauksaimniecības d</w:t>
      </w:r>
      <w:r w:rsidR="000A21EF">
        <w:rPr>
          <w:rFonts w:ascii="Times New Roman" w:hAnsi="Times New Roman" w:cs="Times New Roman"/>
          <w:sz w:val="28"/>
          <w:szCs w:val="28"/>
        </w:rPr>
        <w:t xml:space="preserve">zīvnieku </w:t>
      </w:r>
      <w:r w:rsidR="00142CA5" w:rsidRPr="00EB4349">
        <w:rPr>
          <w:rFonts w:ascii="Times New Roman" w:hAnsi="Times New Roman" w:cs="Times New Roman"/>
          <w:sz w:val="28"/>
          <w:szCs w:val="28"/>
        </w:rPr>
        <w:t>CH</w:t>
      </w:r>
      <w:r w:rsidR="00142CA5" w:rsidRPr="00EB434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142CA5" w:rsidRPr="00EB4349">
        <w:rPr>
          <w:rFonts w:ascii="Times New Roman" w:hAnsi="Times New Roman" w:cs="Times New Roman"/>
          <w:sz w:val="28"/>
          <w:szCs w:val="28"/>
        </w:rPr>
        <w:t xml:space="preserve"> emisiju faktori </w:t>
      </w:r>
      <w:r w:rsidR="00883680">
        <w:rPr>
          <w:rFonts w:ascii="Times New Roman" w:hAnsi="Times New Roman" w:cs="Times New Roman"/>
          <w:sz w:val="28"/>
          <w:szCs w:val="28"/>
        </w:rPr>
        <w:t>no kūtsmēslu apsaimniekošanas</w:t>
      </w:r>
      <w:r w:rsidR="00AB3606">
        <w:rPr>
          <w:rFonts w:ascii="Times New Roman" w:hAnsi="Times New Roman" w:cs="Times New Roman"/>
          <w:sz w:val="28"/>
          <w:szCs w:val="28"/>
        </w:rPr>
        <w:t>.</w:t>
      </w:r>
    </w:p>
    <w:p w14:paraId="560E7972" w14:textId="77777777" w:rsidR="00883680" w:rsidRPr="00EB4349" w:rsidRDefault="00883680" w:rsidP="00DF70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455DFE9" w14:textId="5C737D45" w:rsidR="00142CA5" w:rsidRPr="00EB4349" w:rsidRDefault="00D43F15" w:rsidP="00EB43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42CA5" w:rsidRPr="00EB4349">
        <w:rPr>
          <w:rFonts w:ascii="Times New Roman" w:hAnsi="Times New Roman" w:cs="Times New Roman"/>
          <w:sz w:val="28"/>
          <w:szCs w:val="28"/>
        </w:rPr>
        <w:t>.</w:t>
      </w:r>
      <w:r w:rsidR="00800CB1">
        <w:rPr>
          <w:rFonts w:ascii="Times New Roman" w:hAnsi="Times New Roman" w:cs="Times New Roman"/>
          <w:sz w:val="28"/>
          <w:szCs w:val="28"/>
        </w:rPr>
        <w:t xml:space="preserve"> </w:t>
      </w:r>
      <w:r w:rsidR="00142CA5" w:rsidRPr="00EB4349">
        <w:rPr>
          <w:rFonts w:ascii="Times New Roman" w:hAnsi="Times New Roman" w:cs="Times New Roman"/>
          <w:sz w:val="28"/>
          <w:szCs w:val="28"/>
        </w:rPr>
        <w:t>tabula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17"/>
        <w:gridCol w:w="3241"/>
      </w:tblGrid>
      <w:tr w:rsidR="00FF2DC6" w:rsidRPr="00EB4349" w14:paraId="74764D2E" w14:textId="77777777" w:rsidTr="00FF2DC6">
        <w:trPr>
          <w:jc w:val="center"/>
        </w:trPr>
        <w:tc>
          <w:tcPr>
            <w:tcW w:w="3217" w:type="dxa"/>
            <w:vAlign w:val="center"/>
          </w:tcPr>
          <w:p w14:paraId="6D7BAAC9" w14:textId="77777777" w:rsidR="00FF2DC6" w:rsidRPr="00EB4349" w:rsidRDefault="00883680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Lauksaimniecības d</w:t>
            </w:r>
            <w:r w:rsidR="00FF2DC6" w:rsidRPr="00EB4349">
              <w:rPr>
                <w:rFonts w:ascii="Times New Roman" w:hAnsi="Times New Roman" w:cs="Times New Roman"/>
                <w:sz w:val="28"/>
                <w:szCs w:val="28"/>
              </w:rPr>
              <w:t>zīvnieki</w:t>
            </w:r>
          </w:p>
        </w:tc>
        <w:tc>
          <w:tcPr>
            <w:tcW w:w="3241" w:type="dxa"/>
            <w:vAlign w:val="center"/>
          </w:tcPr>
          <w:p w14:paraId="3C53C340" w14:textId="66F5806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CH</w:t>
            </w:r>
            <w:r w:rsidRPr="00EB434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 xml:space="preserve"> emisiju faktors,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CH4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Kūt</m:t>
                      </m:r>
                    </m:e>
                  </m:d>
                </m:sub>
              </m:sSub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>, kg</w:t>
            </w:r>
            <w:r w:rsidR="00514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CH</w:t>
            </w:r>
            <w:r w:rsidRPr="00EB434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836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443E">
              <w:rPr>
                <w:rFonts w:ascii="Times New Roman" w:hAnsi="Times New Roman" w:cs="Times New Roman"/>
                <w:sz w:val="28"/>
                <w:szCs w:val="28"/>
              </w:rPr>
              <w:t>lauksaimniecības</w:t>
            </w:r>
            <w:r w:rsidR="008836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dzīvnieks</w:t>
            </w:r>
          </w:p>
        </w:tc>
      </w:tr>
      <w:tr w:rsidR="00FF2DC6" w:rsidRPr="00EB4349" w14:paraId="640EA9A7" w14:textId="77777777" w:rsidTr="00FF2DC6">
        <w:trPr>
          <w:jc w:val="center"/>
        </w:trPr>
        <w:tc>
          <w:tcPr>
            <w:tcW w:w="3217" w:type="dxa"/>
            <w:vAlign w:val="center"/>
          </w:tcPr>
          <w:p w14:paraId="797BE33B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Aitas</w:t>
            </w:r>
          </w:p>
        </w:tc>
        <w:tc>
          <w:tcPr>
            <w:tcW w:w="3241" w:type="dxa"/>
            <w:vAlign w:val="center"/>
          </w:tcPr>
          <w:p w14:paraId="20C942A6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0,19</w:t>
            </w:r>
          </w:p>
        </w:tc>
      </w:tr>
      <w:tr w:rsidR="00FF2DC6" w:rsidRPr="00EB4349" w14:paraId="2FF6CBF0" w14:textId="77777777" w:rsidTr="00FF2DC6">
        <w:trPr>
          <w:jc w:val="center"/>
        </w:trPr>
        <w:tc>
          <w:tcPr>
            <w:tcW w:w="3217" w:type="dxa"/>
            <w:vAlign w:val="center"/>
          </w:tcPr>
          <w:p w14:paraId="218F5339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Kazas</w:t>
            </w:r>
          </w:p>
        </w:tc>
        <w:tc>
          <w:tcPr>
            <w:tcW w:w="3241" w:type="dxa"/>
            <w:vAlign w:val="center"/>
          </w:tcPr>
          <w:p w14:paraId="1278663C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0,13</w:t>
            </w:r>
          </w:p>
        </w:tc>
      </w:tr>
      <w:tr w:rsidR="00FF2DC6" w:rsidRPr="00EB4349" w14:paraId="27809A3D" w14:textId="77777777" w:rsidTr="00FF2DC6">
        <w:trPr>
          <w:jc w:val="center"/>
        </w:trPr>
        <w:tc>
          <w:tcPr>
            <w:tcW w:w="3217" w:type="dxa"/>
            <w:vAlign w:val="center"/>
          </w:tcPr>
          <w:p w14:paraId="29FA7C3F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Zirgi</w:t>
            </w:r>
          </w:p>
        </w:tc>
        <w:tc>
          <w:tcPr>
            <w:tcW w:w="3241" w:type="dxa"/>
            <w:vAlign w:val="center"/>
          </w:tcPr>
          <w:p w14:paraId="097D505C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1,56</w:t>
            </w:r>
          </w:p>
        </w:tc>
      </w:tr>
      <w:tr w:rsidR="00FF2DC6" w:rsidRPr="00EB4349" w14:paraId="3E65702F" w14:textId="77777777" w:rsidTr="00FF2DC6">
        <w:trPr>
          <w:jc w:val="center"/>
        </w:trPr>
        <w:tc>
          <w:tcPr>
            <w:tcW w:w="3217" w:type="dxa"/>
            <w:vAlign w:val="center"/>
          </w:tcPr>
          <w:p w14:paraId="0BA9CE36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Dējējvistas</w:t>
            </w:r>
          </w:p>
        </w:tc>
        <w:tc>
          <w:tcPr>
            <w:tcW w:w="3241" w:type="dxa"/>
            <w:vAlign w:val="center"/>
          </w:tcPr>
          <w:p w14:paraId="0C589C00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FF2DC6" w:rsidRPr="00EB4349" w14:paraId="09C74634" w14:textId="77777777" w:rsidTr="00FF2DC6">
        <w:trPr>
          <w:jc w:val="center"/>
        </w:trPr>
        <w:tc>
          <w:tcPr>
            <w:tcW w:w="3217" w:type="dxa"/>
            <w:vAlign w:val="center"/>
          </w:tcPr>
          <w:p w14:paraId="548DA027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Broileri un citi</w:t>
            </w:r>
          </w:p>
        </w:tc>
        <w:tc>
          <w:tcPr>
            <w:tcW w:w="3241" w:type="dxa"/>
            <w:vAlign w:val="center"/>
          </w:tcPr>
          <w:p w14:paraId="5845D348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FF2DC6" w:rsidRPr="00EB4349" w14:paraId="2AC1DD9B" w14:textId="77777777" w:rsidTr="00FF2DC6">
        <w:trPr>
          <w:jc w:val="center"/>
        </w:trPr>
        <w:tc>
          <w:tcPr>
            <w:tcW w:w="3217" w:type="dxa"/>
            <w:vAlign w:val="center"/>
          </w:tcPr>
          <w:p w14:paraId="3CDCF296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Tītari</w:t>
            </w:r>
          </w:p>
        </w:tc>
        <w:tc>
          <w:tcPr>
            <w:tcW w:w="3241" w:type="dxa"/>
            <w:vAlign w:val="center"/>
          </w:tcPr>
          <w:p w14:paraId="03533917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</w:tr>
      <w:tr w:rsidR="00FF2DC6" w:rsidRPr="00EB4349" w14:paraId="75F5F98F" w14:textId="77777777" w:rsidTr="00FF2DC6">
        <w:trPr>
          <w:jc w:val="center"/>
        </w:trPr>
        <w:tc>
          <w:tcPr>
            <w:tcW w:w="3217" w:type="dxa"/>
            <w:vAlign w:val="center"/>
          </w:tcPr>
          <w:p w14:paraId="6A5F4A44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Pīles</w:t>
            </w:r>
          </w:p>
        </w:tc>
        <w:tc>
          <w:tcPr>
            <w:tcW w:w="3241" w:type="dxa"/>
            <w:vAlign w:val="center"/>
          </w:tcPr>
          <w:p w14:paraId="64B10411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FF2DC6" w:rsidRPr="00EB4349" w14:paraId="041C62FE" w14:textId="77777777" w:rsidTr="00FF2DC6">
        <w:trPr>
          <w:jc w:val="center"/>
        </w:trPr>
        <w:tc>
          <w:tcPr>
            <w:tcW w:w="3217" w:type="dxa"/>
            <w:vAlign w:val="center"/>
          </w:tcPr>
          <w:p w14:paraId="7873C6AD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Zosis</w:t>
            </w:r>
          </w:p>
        </w:tc>
        <w:tc>
          <w:tcPr>
            <w:tcW w:w="3241" w:type="dxa"/>
            <w:vAlign w:val="center"/>
          </w:tcPr>
          <w:p w14:paraId="0C99D210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FF2DC6" w:rsidRPr="00EB4349" w14:paraId="5919BB3C" w14:textId="77777777" w:rsidTr="00FF2DC6">
        <w:trPr>
          <w:jc w:val="center"/>
        </w:trPr>
        <w:tc>
          <w:tcPr>
            <w:tcW w:w="3217" w:type="dxa"/>
            <w:vAlign w:val="center"/>
          </w:tcPr>
          <w:p w14:paraId="500E6012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Truši</w:t>
            </w:r>
          </w:p>
        </w:tc>
        <w:tc>
          <w:tcPr>
            <w:tcW w:w="3241" w:type="dxa"/>
            <w:vAlign w:val="center"/>
          </w:tcPr>
          <w:p w14:paraId="52887C69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FF2DC6" w:rsidRPr="00EB4349" w14:paraId="4463D9DB" w14:textId="77777777" w:rsidTr="00FF2DC6">
        <w:trPr>
          <w:jc w:val="center"/>
        </w:trPr>
        <w:tc>
          <w:tcPr>
            <w:tcW w:w="3217" w:type="dxa"/>
            <w:vAlign w:val="center"/>
          </w:tcPr>
          <w:p w14:paraId="4B30C6A3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Kažokādu dzīvnieki</w:t>
            </w:r>
          </w:p>
        </w:tc>
        <w:tc>
          <w:tcPr>
            <w:tcW w:w="3241" w:type="dxa"/>
            <w:vAlign w:val="center"/>
          </w:tcPr>
          <w:p w14:paraId="29412CE3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0,68</w:t>
            </w:r>
          </w:p>
        </w:tc>
      </w:tr>
      <w:tr w:rsidR="00FF2DC6" w:rsidRPr="00EB4349" w14:paraId="312D8DE9" w14:textId="77777777" w:rsidTr="00FF2DC6">
        <w:trPr>
          <w:jc w:val="center"/>
        </w:trPr>
        <w:tc>
          <w:tcPr>
            <w:tcW w:w="3217" w:type="dxa"/>
            <w:vAlign w:val="center"/>
          </w:tcPr>
          <w:p w14:paraId="45A974C9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Brieži</w:t>
            </w:r>
          </w:p>
        </w:tc>
        <w:tc>
          <w:tcPr>
            <w:tcW w:w="3241" w:type="dxa"/>
            <w:vAlign w:val="center"/>
          </w:tcPr>
          <w:p w14:paraId="10F20EC6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0,29</w:t>
            </w:r>
          </w:p>
        </w:tc>
      </w:tr>
      <w:tr w:rsidR="00FF2DC6" w:rsidRPr="00EB4349" w14:paraId="2AFC38F0" w14:textId="77777777" w:rsidTr="00FF2DC6">
        <w:trPr>
          <w:jc w:val="center"/>
        </w:trPr>
        <w:tc>
          <w:tcPr>
            <w:tcW w:w="3217" w:type="dxa"/>
            <w:vAlign w:val="center"/>
          </w:tcPr>
          <w:p w14:paraId="3BA9DE2A" w14:textId="77777777" w:rsidR="00FF2DC6" w:rsidRPr="00EB4349" w:rsidRDefault="00883680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Pārējie liellopi </w:t>
            </w:r>
          </w:p>
        </w:tc>
        <w:tc>
          <w:tcPr>
            <w:tcW w:w="3241" w:type="dxa"/>
            <w:vAlign w:val="center"/>
          </w:tcPr>
          <w:p w14:paraId="7EBCC5C6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1,89</w:t>
            </w:r>
          </w:p>
        </w:tc>
      </w:tr>
      <w:tr w:rsidR="00FF2DC6" w:rsidRPr="00EB4349" w14:paraId="6D77DBCC" w14:textId="77777777" w:rsidTr="00FF2DC6">
        <w:trPr>
          <w:jc w:val="center"/>
        </w:trPr>
        <w:tc>
          <w:tcPr>
            <w:tcW w:w="3217" w:type="dxa"/>
            <w:vAlign w:val="center"/>
          </w:tcPr>
          <w:p w14:paraId="29211A58" w14:textId="77777777" w:rsidR="00FF2DC6" w:rsidRPr="00EB4349" w:rsidRDefault="00883680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Slaucamās </w:t>
            </w:r>
            <w:r w:rsidR="00FF2DC6" w:rsidRPr="00EB4349">
              <w:rPr>
                <w:rFonts w:ascii="Times New Roman" w:hAnsi="Times New Roman" w:cs="Times New Roman"/>
                <w:sz w:val="28"/>
                <w:szCs w:val="28"/>
              </w:rPr>
              <w:t>govis</w:t>
            </w:r>
          </w:p>
        </w:tc>
        <w:tc>
          <w:tcPr>
            <w:tcW w:w="3241" w:type="dxa"/>
            <w:vAlign w:val="center"/>
          </w:tcPr>
          <w:p w14:paraId="75FC5C8F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14,98</w:t>
            </w:r>
          </w:p>
        </w:tc>
      </w:tr>
      <w:tr w:rsidR="00FF2DC6" w:rsidRPr="00EB4349" w14:paraId="74F02495" w14:textId="77777777" w:rsidTr="00FF2DC6">
        <w:trPr>
          <w:jc w:val="center"/>
        </w:trPr>
        <w:tc>
          <w:tcPr>
            <w:tcW w:w="3217" w:type="dxa"/>
            <w:vAlign w:val="center"/>
          </w:tcPr>
          <w:p w14:paraId="2A381912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Cūkas</w:t>
            </w:r>
          </w:p>
        </w:tc>
        <w:tc>
          <w:tcPr>
            <w:tcW w:w="3241" w:type="dxa"/>
            <w:vAlign w:val="center"/>
          </w:tcPr>
          <w:p w14:paraId="45269A09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2,36</w:t>
            </w:r>
          </w:p>
        </w:tc>
      </w:tr>
    </w:tbl>
    <w:p w14:paraId="3BB855C0" w14:textId="358F6334" w:rsidR="00EB4349" w:rsidRDefault="00B94CF9" w:rsidP="00EB43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03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Piezīme. Saskaņā ar </w:t>
      </w:r>
      <w:r w:rsidRPr="001403CB">
        <w:rPr>
          <w:rFonts w:ascii="Times New Roman" w:hAnsi="Times New Roman" w:cs="Times New Roman"/>
          <w:sz w:val="24"/>
          <w:szCs w:val="24"/>
        </w:rPr>
        <w:t>Klimata pārmaiņu starpvaldību padomes</w:t>
      </w:r>
      <w:r w:rsidRPr="001403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(IPCC) </w:t>
      </w:r>
      <w:r w:rsidR="005A30FB" w:rsidRPr="001403CB">
        <w:rPr>
          <w:rFonts w:ascii="Times New Roman" w:hAnsi="Times New Roman" w:cs="Times New Roman"/>
          <w:color w:val="000000" w:themeColor="text1"/>
          <w:sz w:val="24"/>
          <w:szCs w:val="24"/>
        </w:rPr>
        <w:t>2006.</w:t>
      </w:r>
      <w:r w:rsidR="005A3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A30FB" w:rsidRPr="001403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gada </w:t>
      </w:r>
      <w:r w:rsidRPr="001403CB">
        <w:rPr>
          <w:rFonts w:ascii="Times New Roman" w:hAnsi="Times New Roman" w:cs="Times New Roman"/>
          <w:color w:val="000000" w:themeColor="text1"/>
          <w:sz w:val="24"/>
          <w:szCs w:val="24"/>
        </w:rPr>
        <w:t>metodisko norādījumu par nacionālo siltumnīcefekta gāzu emisiju inventarizāciju.</w:t>
      </w:r>
    </w:p>
    <w:p w14:paraId="29BE76B3" w14:textId="77777777" w:rsidR="00B94CF9" w:rsidRPr="00EB4349" w:rsidRDefault="00B94CF9" w:rsidP="00EB43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ADC839A" w14:textId="62E61BD1" w:rsidR="00142CA5" w:rsidRPr="00EB4349" w:rsidRDefault="00EB4349" w:rsidP="00DF705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434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7677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B4349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883680">
        <w:rPr>
          <w:rFonts w:ascii="Times New Roman" w:hAnsi="Times New Roman" w:cs="Times New Roman"/>
          <w:color w:val="000000" w:themeColor="text1"/>
          <w:sz w:val="28"/>
          <w:szCs w:val="28"/>
        </w:rPr>
        <w:t>Lauksaimniecības d</w:t>
      </w:r>
      <w:r w:rsidR="000A21EF">
        <w:rPr>
          <w:rFonts w:ascii="Times New Roman" w:hAnsi="Times New Roman" w:cs="Times New Roman"/>
          <w:color w:val="000000" w:themeColor="text1"/>
          <w:sz w:val="28"/>
          <w:szCs w:val="28"/>
        </w:rPr>
        <w:t>zīvniek</w:t>
      </w:r>
      <w:r w:rsidR="00883680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 w:rsidR="000A21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21EF">
        <w:rPr>
          <w:rFonts w:ascii="Times New Roman" w:hAnsi="Times New Roman" w:cs="Times New Roman"/>
          <w:sz w:val="28"/>
          <w:szCs w:val="28"/>
        </w:rPr>
        <w:t>v</w:t>
      </w:r>
      <w:r w:rsidR="00D43F15">
        <w:rPr>
          <w:rFonts w:ascii="Times New Roman" w:hAnsi="Times New Roman" w:cs="Times New Roman"/>
          <w:sz w:val="28"/>
          <w:szCs w:val="28"/>
        </w:rPr>
        <w:t>idēj</w:t>
      </w:r>
      <w:r w:rsidR="00883680">
        <w:rPr>
          <w:rFonts w:ascii="Times New Roman" w:hAnsi="Times New Roman" w:cs="Times New Roman"/>
          <w:sz w:val="28"/>
          <w:szCs w:val="28"/>
        </w:rPr>
        <w:t>ais</w:t>
      </w:r>
      <w:r w:rsidR="00D43F15">
        <w:rPr>
          <w:rFonts w:ascii="Times New Roman" w:hAnsi="Times New Roman" w:cs="Times New Roman"/>
          <w:sz w:val="28"/>
          <w:szCs w:val="28"/>
        </w:rPr>
        <w:t xml:space="preserve"> slāpekļa </w:t>
      </w:r>
      <w:r w:rsidR="00AB3606">
        <w:rPr>
          <w:rFonts w:ascii="Times New Roman" w:hAnsi="Times New Roman" w:cs="Times New Roman"/>
          <w:sz w:val="28"/>
          <w:szCs w:val="28"/>
        </w:rPr>
        <w:t>daudzums kūtsmēslos.</w:t>
      </w:r>
    </w:p>
    <w:p w14:paraId="48B164DD" w14:textId="5F731181" w:rsidR="00142CA5" w:rsidRPr="00EB4349" w:rsidRDefault="007E1127" w:rsidP="00EB434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="00800C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tabula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17"/>
        <w:gridCol w:w="3260"/>
      </w:tblGrid>
      <w:tr w:rsidR="00FF2DC6" w:rsidRPr="00EB4349" w14:paraId="33A832C1" w14:textId="77777777" w:rsidTr="00FF2DC6">
        <w:trPr>
          <w:jc w:val="center"/>
        </w:trPr>
        <w:tc>
          <w:tcPr>
            <w:tcW w:w="3217" w:type="dxa"/>
            <w:vAlign w:val="center"/>
          </w:tcPr>
          <w:p w14:paraId="58775BC8" w14:textId="77777777" w:rsidR="00FF2DC6" w:rsidRPr="00EB4349" w:rsidRDefault="00883680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Lauksaimniecības d</w:t>
            </w:r>
            <w:r w:rsidR="00FF2DC6" w:rsidRPr="00EB4349">
              <w:rPr>
                <w:rFonts w:ascii="Times New Roman" w:hAnsi="Times New Roman" w:cs="Times New Roman"/>
                <w:sz w:val="28"/>
                <w:szCs w:val="28"/>
              </w:rPr>
              <w:t>zīvnieki</w:t>
            </w:r>
          </w:p>
        </w:tc>
        <w:tc>
          <w:tcPr>
            <w:tcW w:w="3260" w:type="dxa"/>
            <w:vAlign w:val="center"/>
          </w:tcPr>
          <w:p w14:paraId="7608FE44" w14:textId="77777777" w:rsidR="00514B63" w:rsidRDefault="00FF2DC6" w:rsidP="00EB43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Vidējie N izdales apjomi gadā,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</w:rPr>
                    <m:t>eks(Dz)</m:t>
                  </m:r>
                </m:sub>
              </m:sSub>
            </m:oMath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k</w:t>
            </w:r>
            <w:r w:rsidR="00514B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</w:t>
            </w:r>
          </w:p>
          <w:p w14:paraId="520F6526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N/</w:t>
            </w:r>
            <w:r w:rsidR="008836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lauksaimniecības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dzīvnieks</w:t>
            </w:r>
          </w:p>
        </w:tc>
      </w:tr>
      <w:tr w:rsidR="00FF2DC6" w:rsidRPr="00EB4349" w14:paraId="4C7CF80F" w14:textId="77777777" w:rsidTr="00FF2DC6">
        <w:trPr>
          <w:jc w:val="center"/>
        </w:trPr>
        <w:tc>
          <w:tcPr>
            <w:tcW w:w="3217" w:type="dxa"/>
            <w:vAlign w:val="center"/>
          </w:tcPr>
          <w:p w14:paraId="56AFE8AF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Aitas</w:t>
            </w:r>
          </w:p>
        </w:tc>
        <w:tc>
          <w:tcPr>
            <w:tcW w:w="3260" w:type="dxa"/>
            <w:vAlign w:val="center"/>
          </w:tcPr>
          <w:p w14:paraId="357E61DC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13,00</w:t>
            </w:r>
          </w:p>
        </w:tc>
      </w:tr>
      <w:tr w:rsidR="00FF2DC6" w:rsidRPr="00EB4349" w14:paraId="6F8CF01E" w14:textId="77777777" w:rsidTr="00FF2DC6">
        <w:trPr>
          <w:jc w:val="center"/>
        </w:trPr>
        <w:tc>
          <w:tcPr>
            <w:tcW w:w="3217" w:type="dxa"/>
            <w:vAlign w:val="center"/>
          </w:tcPr>
          <w:p w14:paraId="714527B2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Kazas</w:t>
            </w:r>
          </w:p>
        </w:tc>
        <w:tc>
          <w:tcPr>
            <w:tcW w:w="3260" w:type="dxa"/>
            <w:vAlign w:val="center"/>
          </w:tcPr>
          <w:p w14:paraId="0510C61D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13,00</w:t>
            </w:r>
          </w:p>
        </w:tc>
      </w:tr>
      <w:tr w:rsidR="00FF2DC6" w:rsidRPr="00EB4349" w14:paraId="2865DAA3" w14:textId="77777777" w:rsidTr="00FF2DC6">
        <w:trPr>
          <w:jc w:val="center"/>
        </w:trPr>
        <w:tc>
          <w:tcPr>
            <w:tcW w:w="3217" w:type="dxa"/>
            <w:vAlign w:val="center"/>
          </w:tcPr>
          <w:p w14:paraId="0CE4A7D6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Zirgi</w:t>
            </w:r>
          </w:p>
        </w:tc>
        <w:tc>
          <w:tcPr>
            <w:tcW w:w="3260" w:type="dxa"/>
            <w:vAlign w:val="center"/>
          </w:tcPr>
          <w:p w14:paraId="3B0776D0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47,00</w:t>
            </w:r>
          </w:p>
        </w:tc>
      </w:tr>
      <w:tr w:rsidR="00FF2DC6" w:rsidRPr="00EB4349" w14:paraId="79D77CE3" w14:textId="77777777" w:rsidTr="00FF2DC6">
        <w:trPr>
          <w:jc w:val="center"/>
        </w:trPr>
        <w:tc>
          <w:tcPr>
            <w:tcW w:w="3217" w:type="dxa"/>
            <w:vAlign w:val="center"/>
          </w:tcPr>
          <w:p w14:paraId="66816738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Dējējvistas</w:t>
            </w:r>
          </w:p>
        </w:tc>
        <w:tc>
          <w:tcPr>
            <w:tcW w:w="3260" w:type="dxa"/>
            <w:vAlign w:val="center"/>
          </w:tcPr>
          <w:p w14:paraId="0D61BE8A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0,60</w:t>
            </w:r>
          </w:p>
        </w:tc>
      </w:tr>
      <w:tr w:rsidR="00FF2DC6" w:rsidRPr="00EB4349" w14:paraId="5E96DAF9" w14:textId="77777777" w:rsidTr="00FF2DC6">
        <w:trPr>
          <w:jc w:val="center"/>
        </w:trPr>
        <w:tc>
          <w:tcPr>
            <w:tcW w:w="3217" w:type="dxa"/>
            <w:vAlign w:val="center"/>
          </w:tcPr>
          <w:p w14:paraId="5ADEF89D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Broileri un citi</w:t>
            </w:r>
          </w:p>
        </w:tc>
        <w:tc>
          <w:tcPr>
            <w:tcW w:w="3260" w:type="dxa"/>
            <w:vAlign w:val="center"/>
          </w:tcPr>
          <w:p w14:paraId="36F48B75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0,36</w:t>
            </w:r>
          </w:p>
        </w:tc>
      </w:tr>
      <w:tr w:rsidR="00FF2DC6" w:rsidRPr="00EB4349" w14:paraId="525DC115" w14:textId="77777777" w:rsidTr="00FF2DC6">
        <w:trPr>
          <w:jc w:val="center"/>
        </w:trPr>
        <w:tc>
          <w:tcPr>
            <w:tcW w:w="3217" w:type="dxa"/>
            <w:vAlign w:val="center"/>
          </w:tcPr>
          <w:p w14:paraId="5C5B69A2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Tītari</w:t>
            </w:r>
          </w:p>
        </w:tc>
        <w:tc>
          <w:tcPr>
            <w:tcW w:w="3260" w:type="dxa"/>
            <w:vAlign w:val="center"/>
          </w:tcPr>
          <w:p w14:paraId="39F04A43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1,64</w:t>
            </w:r>
          </w:p>
        </w:tc>
      </w:tr>
      <w:tr w:rsidR="00FF2DC6" w:rsidRPr="00EB4349" w14:paraId="547ABCC9" w14:textId="77777777" w:rsidTr="00FF2DC6">
        <w:trPr>
          <w:jc w:val="center"/>
        </w:trPr>
        <w:tc>
          <w:tcPr>
            <w:tcW w:w="3217" w:type="dxa"/>
            <w:vAlign w:val="center"/>
          </w:tcPr>
          <w:p w14:paraId="71C52D2D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Pīles</w:t>
            </w:r>
          </w:p>
        </w:tc>
        <w:tc>
          <w:tcPr>
            <w:tcW w:w="3260" w:type="dxa"/>
            <w:vAlign w:val="center"/>
          </w:tcPr>
          <w:p w14:paraId="3462FC6D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1,26</w:t>
            </w:r>
          </w:p>
        </w:tc>
      </w:tr>
      <w:tr w:rsidR="00FF2DC6" w:rsidRPr="00EB4349" w14:paraId="57B00870" w14:textId="77777777" w:rsidTr="00FF2DC6">
        <w:trPr>
          <w:jc w:val="center"/>
        </w:trPr>
        <w:tc>
          <w:tcPr>
            <w:tcW w:w="3217" w:type="dxa"/>
            <w:vAlign w:val="center"/>
          </w:tcPr>
          <w:p w14:paraId="03A94709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Zosis</w:t>
            </w:r>
          </w:p>
        </w:tc>
        <w:tc>
          <w:tcPr>
            <w:tcW w:w="3260" w:type="dxa"/>
            <w:vAlign w:val="center"/>
          </w:tcPr>
          <w:p w14:paraId="1016D9D9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0,55</w:t>
            </w:r>
          </w:p>
        </w:tc>
      </w:tr>
      <w:tr w:rsidR="00FF2DC6" w:rsidRPr="00EB4349" w14:paraId="6CBFD8F6" w14:textId="77777777" w:rsidTr="00FF2DC6">
        <w:trPr>
          <w:jc w:val="center"/>
        </w:trPr>
        <w:tc>
          <w:tcPr>
            <w:tcW w:w="3217" w:type="dxa"/>
            <w:vAlign w:val="center"/>
          </w:tcPr>
          <w:p w14:paraId="174089C8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Truši</w:t>
            </w:r>
          </w:p>
        </w:tc>
        <w:tc>
          <w:tcPr>
            <w:tcW w:w="3260" w:type="dxa"/>
            <w:vAlign w:val="center"/>
          </w:tcPr>
          <w:p w14:paraId="21F27003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8,10</w:t>
            </w:r>
          </w:p>
        </w:tc>
      </w:tr>
      <w:tr w:rsidR="00FF2DC6" w:rsidRPr="00EB4349" w14:paraId="64A07AA9" w14:textId="77777777" w:rsidTr="00FF2DC6">
        <w:trPr>
          <w:jc w:val="center"/>
        </w:trPr>
        <w:tc>
          <w:tcPr>
            <w:tcW w:w="3217" w:type="dxa"/>
            <w:vAlign w:val="center"/>
          </w:tcPr>
          <w:p w14:paraId="16F34636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Kažokādu dzīvnieki</w:t>
            </w:r>
          </w:p>
        </w:tc>
        <w:tc>
          <w:tcPr>
            <w:tcW w:w="3260" w:type="dxa"/>
            <w:vAlign w:val="center"/>
          </w:tcPr>
          <w:p w14:paraId="0DD94E60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8,34</w:t>
            </w:r>
          </w:p>
        </w:tc>
      </w:tr>
      <w:tr w:rsidR="00FF2DC6" w:rsidRPr="00EB4349" w14:paraId="1E138017" w14:textId="77777777" w:rsidTr="00FF2DC6">
        <w:trPr>
          <w:jc w:val="center"/>
        </w:trPr>
        <w:tc>
          <w:tcPr>
            <w:tcW w:w="3217" w:type="dxa"/>
            <w:vAlign w:val="center"/>
          </w:tcPr>
          <w:p w14:paraId="7B8E91AA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Brieži</w:t>
            </w:r>
          </w:p>
        </w:tc>
        <w:tc>
          <w:tcPr>
            <w:tcW w:w="3260" w:type="dxa"/>
            <w:vAlign w:val="center"/>
          </w:tcPr>
          <w:p w14:paraId="277712A8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9,00</w:t>
            </w:r>
          </w:p>
        </w:tc>
      </w:tr>
      <w:tr w:rsidR="00FF2DC6" w:rsidRPr="00EB4349" w14:paraId="2EC41A9D" w14:textId="77777777" w:rsidTr="00FF2DC6">
        <w:trPr>
          <w:jc w:val="center"/>
        </w:trPr>
        <w:tc>
          <w:tcPr>
            <w:tcW w:w="3217" w:type="dxa"/>
            <w:vAlign w:val="center"/>
          </w:tcPr>
          <w:p w14:paraId="6D25A9A6" w14:textId="77777777" w:rsidR="00FF2DC6" w:rsidRPr="00EB4349" w:rsidRDefault="00883680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Pārējie liellopi </w:t>
            </w:r>
          </w:p>
        </w:tc>
        <w:tc>
          <w:tcPr>
            <w:tcW w:w="3260" w:type="dxa"/>
            <w:vAlign w:val="center"/>
          </w:tcPr>
          <w:p w14:paraId="58EA4774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61,50</w:t>
            </w:r>
          </w:p>
        </w:tc>
      </w:tr>
      <w:tr w:rsidR="00FF2DC6" w:rsidRPr="00EB4349" w14:paraId="4A708BA1" w14:textId="77777777" w:rsidTr="00FF2DC6">
        <w:trPr>
          <w:jc w:val="center"/>
        </w:trPr>
        <w:tc>
          <w:tcPr>
            <w:tcW w:w="3217" w:type="dxa"/>
            <w:vAlign w:val="center"/>
          </w:tcPr>
          <w:p w14:paraId="343DBAF9" w14:textId="77777777" w:rsidR="00FF2DC6" w:rsidRPr="00EB4349" w:rsidRDefault="00883680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Slaucamās </w:t>
            </w:r>
            <w:r w:rsidR="00FF2DC6" w:rsidRPr="00EB4349">
              <w:rPr>
                <w:rFonts w:ascii="Times New Roman" w:hAnsi="Times New Roman" w:cs="Times New Roman"/>
                <w:sz w:val="28"/>
                <w:szCs w:val="28"/>
              </w:rPr>
              <w:t>govis</w:t>
            </w:r>
          </w:p>
        </w:tc>
        <w:tc>
          <w:tcPr>
            <w:tcW w:w="3260" w:type="dxa"/>
            <w:vAlign w:val="center"/>
          </w:tcPr>
          <w:p w14:paraId="3F3AB64D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113,80</w:t>
            </w:r>
          </w:p>
        </w:tc>
      </w:tr>
      <w:tr w:rsidR="00FF2DC6" w:rsidRPr="00EB4349" w14:paraId="1E474F3A" w14:textId="77777777" w:rsidTr="00FF2DC6">
        <w:trPr>
          <w:jc w:val="center"/>
        </w:trPr>
        <w:tc>
          <w:tcPr>
            <w:tcW w:w="3217" w:type="dxa"/>
            <w:vAlign w:val="center"/>
          </w:tcPr>
          <w:p w14:paraId="5AA9694B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Cūkas</w:t>
            </w:r>
          </w:p>
        </w:tc>
        <w:tc>
          <w:tcPr>
            <w:tcW w:w="3260" w:type="dxa"/>
            <w:vAlign w:val="center"/>
          </w:tcPr>
          <w:p w14:paraId="303938DD" w14:textId="77777777" w:rsidR="00FF2DC6" w:rsidRPr="00EB4349" w:rsidRDefault="00FF2DC6" w:rsidP="00E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>10,80</w:t>
            </w:r>
          </w:p>
        </w:tc>
      </w:tr>
    </w:tbl>
    <w:p w14:paraId="30B72EDA" w14:textId="22408F41" w:rsidR="00EB4349" w:rsidRPr="00343CFA" w:rsidRDefault="00B94CF9" w:rsidP="00EB43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03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Piezīme. </w:t>
      </w:r>
      <w:r w:rsidR="00142CA5" w:rsidRPr="001403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Saskaņā ar </w:t>
      </w:r>
      <w:r w:rsidR="00142CA5" w:rsidRPr="001403CB">
        <w:rPr>
          <w:rFonts w:ascii="Times New Roman" w:hAnsi="Times New Roman" w:cs="Times New Roman"/>
          <w:sz w:val="24"/>
          <w:szCs w:val="24"/>
        </w:rPr>
        <w:t>Klimata pārmaiņu starpvaldību padomes</w:t>
      </w:r>
      <w:r w:rsidR="00142CA5" w:rsidRPr="001403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(IPCC) </w:t>
      </w:r>
      <w:r w:rsidR="005A30FB" w:rsidRPr="001403CB">
        <w:rPr>
          <w:rFonts w:ascii="Times New Roman" w:hAnsi="Times New Roman" w:cs="Times New Roman"/>
          <w:color w:val="000000" w:themeColor="text1"/>
          <w:sz w:val="24"/>
          <w:szCs w:val="24"/>
        </w:rPr>
        <w:t>2006.</w:t>
      </w:r>
      <w:r w:rsidR="005A30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A30FB" w:rsidRPr="001403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gada </w:t>
      </w:r>
      <w:r w:rsidR="00142CA5" w:rsidRPr="001403CB">
        <w:rPr>
          <w:rFonts w:ascii="Times New Roman" w:hAnsi="Times New Roman" w:cs="Times New Roman"/>
          <w:color w:val="000000" w:themeColor="text1"/>
          <w:sz w:val="24"/>
          <w:szCs w:val="24"/>
        </w:rPr>
        <w:t>metodisko norādījumu par nacionālo siltumnīcefekta gāzu emisiju inventarizāciju.</w:t>
      </w:r>
    </w:p>
    <w:p w14:paraId="7E8D1F4F" w14:textId="77777777" w:rsidR="00A44410" w:rsidRDefault="00A44410" w:rsidP="00EB4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6F709CC" w14:textId="30CE7E81" w:rsidR="00A44410" w:rsidRPr="00EB4349" w:rsidRDefault="00A44410" w:rsidP="00D43F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4C3383">
        <w:rPr>
          <w:rFonts w:ascii="Times New Roman" w:hAnsi="Times New Roman" w:cs="Times New Roman"/>
          <w:sz w:val="28"/>
          <w:szCs w:val="28"/>
        </w:rPr>
        <w:t> </w:t>
      </w:r>
      <w:r w:rsidR="009F2A50">
        <w:rPr>
          <w:rFonts w:ascii="Times New Roman" w:hAnsi="Times New Roman" w:cs="Times New Roman"/>
          <w:sz w:val="28"/>
          <w:szCs w:val="28"/>
        </w:rPr>
        <w:t xml:space="preserve">Biogāzes </w:t>
      </w:r>
      <w:r w:rsidR="004C3383">
        <w:rPr>
          <w:rFonts w:ascii="Times New Roman" w:hAnsi="Times New Roman" w:cs="Times New Roman"/>
          <w:sz w:val="28"/>
          <w:szCs w:val="28"/>
        </w:rPr>
        <w:t xml:space="preserve">veidošanās </w:t>
      </w:r>
      <w:r w:rsidR="009F2A50">
        <w:rPr>
          <w:rFonts w:ascii="Times New Roman" w:hAnsi="Times New Roman" w:cs="Times New Roman"/>
          <w:sz w:val="28"/>
          <w:szCs w:val="28"/>
        </w:rPr>
        <w:t>potenciāls atkarībā no izman</w:t>
      </w:r>
      <w:r w:rsidR="00A457DE">
        <w:rPr>
          <w:rFonts w:ascii="Times New Roman" w:hAnsi="Times New Roman" w:cs="Times New Roman"/>
          <w:sz w:val="28"/>
          <w:szCs w:val="28"/>
        </w:rPr>
        <w:t>totā bioloģiski noārdāmo</w:t>
      </w:r>
      <w:r w:rsidR="00AB3606">
        <w:rPr>
          <w:rFonts w:ascii="Times New Roman" w:hAnsi="Times New Roman" w:cs="Times New Roman"/>
          <w:sz w:val="28"/>
          <w:szCs w:val="28"/>
        </w:rPr>
        <w:t xml:space="preserve"> atkritumu veida.</w:t>
      </w:r>
    </w:p>
    <w:p w14:paraId="4E3F8065" w14:textId="7A385DCA" w:rsidR="00A44410" w:rsidRPr="00EB4349" w:rsidRDefault="009F2A50" w:rsidP="00A444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44410" w:rsidRPr="00EB4349">
        <w:rPr>
          <w:rFonts w:ascii="Times New Roman" w:hAnsi="Times New Roman" w:cs="Times New Roman"/>
          <w:sz w:val="28"/>
          <w:szCs w:val="28"/>
        </w:rPr>
        <w:t>.</w:t>
      </w:r>
      <w:r w:rsidR="00800CB1">
        <w:rPr>
          <w:rFonts w:ascii="Times New Roman" w:hAnsi="Times New Roman" w:cs="Times New Roman"/>
          <w:sz w:val="28"/>
          <w:szCs w:val="28"/>
        </w:rPr>
        <w:t xml:space="preserve"> </w:t>
      </w:r>
      <w:r w:rsidR="00A44410" w:rsidRPr="00EB4349">
        <w:rPr>
          <w:rFonts w:ascii="Times New Roman" w:hAnsi="Times New Roman" w:cs="Times New Roman"/>
          <w:sz w:val="28"/>
          <w:szCs w:val="28"/>
        </w:rPr>
        <w:t>tabula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88"/>
        <w:gridCol w:w="2410"/>
      </w:tblGrid>
      <w:tr w:rsidR="00F51DD5" w:rsidRPr="00EB4349" w14:paraId="02C78508" w14:textId="77777777" w:rsidTr="00F51DD5">
        <w:trPr>
          <w:jc w:val="center"/>
        </w:trPr>
        <w:tc>
          <w:tcPr>
            <w:tcW w:w="4188" w:type="dxa"/>
            <w:vAlign w:val="center"/>
          </w:tcPr>
          <w:p w14:paraId="752D7FC0" w14:textId="48855C40" w:rsidR="00F51DD5" w:rsidRPr="00EB4349" w:rsidRDefault="00A457DE" w:rsidP="00A444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Bioloģiski noārdāmo </w:t>
            </w:r>
            <w:r w:rsidR="00F51DD5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F51DD5" w:rsidRPr="00EB4349">
              <w:rPr>
                <w:rFonts w:ascii="Times New Roman" w:hAnsi="Times New Roman" w:cs="Times New Roman"/>
                <w:sz w:val="28"/>
                <w:szCs w:val="28"/>
              </w:rPr>
              <w:t>tkritumu veids</w:t>
            </w:r>
          </w:p>
        </w:tc>
        <w:tc>
          <w:tcPr>
            <w:tcW w:w="2410" w:type="dxa"/>
            <w:vAlign w:val="center"/>
          </w:tcPr>
          <w:p w14:paraId="6D8AD984" w14:textId="77777777" w:rsidR="00F51DD5" w:rsidRPr="00EB4349" w:rsidRDefault="00F51DD5" w:rsidP="00F51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Biogāzes</w:t>
            </w:r>
            <w:r w:rsidRPr="00EB43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ieguves daudzums,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>, m</w:t>
            </w:r>
            <w:r w:rsidRPr="00F51DD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4215E3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</w:tr>
      <w:tr w:rsidR="00F51DD5" w:rsidRPr="00EB4349" w14:paraId="071C2CFD" w14:textId="77777777" w:rsidTr="00F51DD5">
        <w:trPr>
          <w:jc w:val="center"/>
        </w:trPr>
        <w:tc>
          <w:tcPr>
            <w:tcW w:w="4188" w:type="dxa"/>
          </w:tcPr>
          <w:p w14:paraId="3B4742EC" w14:textId="77777777" w:rsidR="00F51DD5" w:rsidRPr="00EB4349" w:rsidRDefault="00F51DD5" w:rsidP="00A44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Bioloģiski noārdāmie sadzīves atkritumi</w:t>
            </w:r>
          </w:p>
        </w:tc>
        <w:tc>
          <w:tcPr>
            <w:tcW w:w="2410" w:type="dxa"/>
            <w:vAlign w:val="center"/>
          </w:tcPr>
          <w:p w14:paraId="37DF285C" w14:textId="77777777" w:rsidR="00F51DD5" w:rsidRPr="00EB4349" w:rsidRDefault="004215E3" w:rsidP="00A444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  <w:r w:rsidR="00324F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51DD5" w:rsidRPr="00EB4349" w14:paraId="2D65F558" w14:textId="77777777" w:rsidTr="00F51DD5">
        <w:trPr>
          <w:jc w:val="center"/>
        </w:trPr>
        <w:tc>
          <w:tcPr>
            <w:tcW w:w="4188" w:type="dxa"/>
          </w:tcPr>
          <w:p w14:paraId="2E0EEEE3" w14:textId="77777777" w:rsidR="00F51DD5" w:rsidRPr="00EB4349" w:rsidRDefault="00F51DD5" w:rsidP="00A44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Augkopības produkcijas atlikumi</w:t>
            </w:r>
          </w:p>
        </w:tc>
        <w:tc>
          <w:tcPr>
            <w:tcW w:w="2410" w:type="dxa"/>
            <w:vAlign w:val="center"/>
          </w:tcPr>
          <w:p w14:paraId="0DEF38E2" w14:textId="77777777" w:rsidR="00F51DD5" w:rsidRPr="00EB4349" w:rsidRDefault="004215E3" w:rsidP="00A444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0,12</w:t>
            </w:r>
          </w:p>
        </w:tc>
      </w:tr>
      <w:tr w:rsidR="00F51DD5" w:rsidRPr="00EB4349" w14:paraId="526F9B53" w14:textId="77777777" w:rsidTr="00F51DD5">
        <w:trPr>
          <w:jc w:val="center"/>
        </w:trPr>
        <w:tc>
          <w:tcPr>
            <w:tcW w:w="4188" w:type="dxa"/>
          </w:tcPr>
          <w:p w14:paraId="3B81F022" w14:textId="77777777" w:rsidR="00F51DD5" w:rsidRPr="00EB4349" w:rsidRDefault="00F51DD5" w:rsidP="00A44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Piena ražošanas atkritumi</w:t>
            </w:r>
          </w:p>
        </w:tc>
        <w:tc>
          <w:tcPr>
            <w:tcW w:w="2410" w:type="dxa"/>
            <w:vAlign w:val="center"/>
          </w:tcPr>
          <w:p w14:paraId="02E626EA" w14:textId="77777777" w:rsidR="00F51DD5" w:rsidRPr="00EB4349" w:rsidRDefault="004215E3" w:rsidP="00A444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0,62</w:t>
            </w:r>
          </w:p>
        </w:tc>
      </w:tr>
      <w:tr w:rsidR="00F51DD5" w:rsidRPr="00EB4349" w14:paraId="319F683F" w14:textId="77777777" w:rsidTr="00F51DD5">
        <w:trPr>
          <w:jc w:val="center"/>
        </w:trPr>
        <w:tc>
          <w:tcPr>
            <w:tcW w:w="4188" w:type="dxa"/>
          </w:tcPr>
          <w:p w14:paraId="1EA6A177" w14:textId="77777777" w:rsidR="00F51DD5" w:rsidRPr="00EB4349" w:rsidRDefault="00F51DD5" w:rsidP="00A44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Cūku kūtsmēsli</w:t>
            </w:r>
          </w:p>
        </w:tc>
        <w:tc>
          <w:tcPr>
            <w:tcW w:w="2410" w:type="dxa"/>
            <w:vAlign w:val="center"/>
          </w:tcPr>
          <w:p w14:paraId="798D0255" w14:textId="77777777" w:rsidR="00F51DD5" w:rsidRPr="00EB4349" w:rsidRDefault="004215E3" w:rsidP="00A444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554A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24F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51DD5" w:rsidRPr="00EB4349" w14:paraId="66E258C0" w14:textId="77777777" w:rsidTr="00F51DD5">
        <w:trPr>
          <w:jc w:val="center"/>
        </w:trPr>
        <w:tc>
          <w:tcPr>
            <w:tcW w:w="4188" w:type="dxa"/>
          </w:tcPr>
          <w:p w14:paraId="4B6F0BFB" w14:textId="77777777" w:rsidR="00F51DD5" w:rsidRPr="00EB4349" w:rsidRDefault="00F51DD5" w:rsidP="00A44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Liellopu kūtsmēsli</w:t>
            </w:r>
          </w:p>
        </w:tc>
        <w:tc>
          <w:tcPr>
            <w:tcW w:w="2410" w:type="dxa"/>
            <w:vAlign w:val="center"/>
          </w:tcPr>
          <w:p w14:paraId="7E2B86E1" w14:textId="77777777" w:rsidR="00F51DD5" w:rsidRPr="00EB4349" w:rsidRDefault="004215E3" w:rsidP="00A444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554A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24F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51DD5" w:rsidRPr="00EB4349" w14:paraId="33AFC783" w14:textId="77777777" w:rsidTr="00F51DD5">
        <w:trPr>
          <w:jc w:val="center"/>
        </w:trPr>
        <w:tc>
          <w:tcPr>
            <w:tcW w:w="4188" w:type="dxa"/>
          </w:tcPr>
          <w:p w14:paraId="1473B710" w14:textId="77777777" w:rsidR="00F51DD5" w:rsidRPr="00EB4349" w:rsidRDefault="00F51DD5" w:rsidP="00A44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Putnu kūtsmēsli</w:t>
            </w:r>
          </w:p>
        </w:tc>
        <w:tc>
          <w:tcPr>
            <w:tcW w:w="2410" w:type="dxa"/>
            <w:vAlign w:val="center"/>
          </w:tcPr>
          <w:p w14:paraId="36429736" w14:textId="77777777" w:rsidR="00F51DD5" w:rsidRPr="00EB4349" w:rsidRDefault="004215E3" w:rsidP="00A444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554A7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</w:tbl>
    <w:p w14:paraId="7985BEB5" w14:textId="77777777" w:rsidR="00A44410" w:rsidRPr="00691F6E" w:rsidRDefault="00A44410" w:rsidP="00EB4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C8A6BD" w14:textId="056E8A4D" w:rsidR="00BC4D45" w:rsidRDefault="00EE27AC" w:rsidP="00EB4349">
      <w:pPr>
        <w:tabs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14.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Flourēto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siltumnīcefekta gāzu (F-gāzes) globālās sasilšanas potenciāli.</w:t>
      </w:r>
    </w:p>
    <w:p w14:paraId="2508C588" w14:textId="77777777" w:rsidR="00EE27AC" w:rsidRDefault="00EE27AC" w:rsidP="00EB4349">
      <w:pPr>
        <w:tabs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D2B10C2" w14:textId="0F4236AE" w:rsidR="00EE27AC" w:rsidRDefault="00EE27AC" w:rsidP="00EE27AC">
      <w:pPr>
        <w:tabs>
          <w:tab w:val="left" w:pos="67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</w:t>
      </w:r>
      <w:r w:rsidR="00800C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tabula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369"/>
        <w:gridCol w:w="3402"/>
      </w:tblGrid>
      <w:tr w:rsidR="00EE27AC" w14:paraId="5297860F" w14:textId="77777777" w:rsidTr="00EE27AC">
        <w:trPr>
          <w:jc w:val="center"/>
        </w:trPr>
        <w:tc>
          <w:tcPr>
            <w:tcW w:w="3369" w:type="dxa"/>
          </w:tcPr>
          <w:p w14:paraId="15082D80" w14:textId="589640FA" w:rsidR="00EE27AC" w:rsidRDefault="00EE27AC" w:rsidP="00EE27AC">
            <w:pPr>
              <w:tabs>
                <w:tab w:val="left" w:pos="67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F-gāzes rūpnieciskais apzīmējums</w:t>
            </w:r>
          </w:p>
        </w:tc>
        <w:tc>
          <w:tcPr>
            <w:tcW w:w="3402" w:type="dxa"/>
          </w:tcPr>
          <w:p w14:paraId="75C646D0" w14:textId="1A307F34" w:rsidR="00EE27AC" w:rsidRDefault="00EE27AC" w:rsidP="009A3FBA">
            <w:pPr>
              <w:tabs>
                <w:tab w:val="left" w:pos="67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Globālās sasilšanas potenciāls</w:t>
            </w:r>
            <w:r w:rsidR="009A3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GSP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F</m:t>
                  </m:r>
                </m:sub>
              </m:sSub>
            </m:oMath>
            <w:r w:rsidR="009A3FBA">
              <w:rPr>
                <w:rFonts w:ascii="Times New Roman" w:eastAsia="Times New Roman" w:hAnsi="Times New Roman" w:cs="Times New Roman"/>
                <w:sz w:val="28"/>
                <w:szCs w:val="28"/>
              </w:rPr>
              <w:t>, t CO</w:t>
            </w:r>
            <w:r w:rsidR="009A3FBA" w:rsidRPr="009A3FB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9A3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A3FBA">
              <w:rPr>
                <w:rFonts w:ascii="Times New Roman" w:eastAsia="Times New Roman" w:hAnsi="Times New Roman" w:cs="Times New Roman"/>
                <w:sz w:val="28"/>
                <w:szCs w:val="28"/>
              </w:rPr>
              <w:t>ek</w:t>
            </w:r>
            <w:proofErr w:type="spellEnd"/>
            <w:r w:rsidR="009A3FBA">
              <w:rPr>
                <w:rFonts w:ascii="Times New Roman" w:eastAsia="Times New Roman" w:hAnsi="Times New Roman" w:cs="Times New Roman"/>
                <w:sz w:val="28"/>
                <w:szCs w:val="28"/>
              </w:rPr>
              <w:t>./t F-gāze</w:t>
            </w:r>
          </w:p>
        </w:tc>
      </w:tr>
      <w:tr w:rsidR="00EE27AC" w14:paraId="0A12E3C5" w14:textId="77777777" w:rsidTr="00EE27AC">
        <w:trPr>
          <w:jc w:val="center"/>
        </w:trPr>
        <w:tc>
          <w:tcPr>
            <w:tcW w:w="3369" w:type="dxa"/>
          </w:tcPr>
          <w:p w14:paraId="383971AB" w14:textId="200A6430" w:rsidR="00EE27AC" w:rsidRDefault="00EE27AC" w:rsidP="00EE27AC">
            <w:pPr>
              <w:tabs>
                <w:tab w:val="left" w:pos="67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HFC-23</w:t>
            </w:r>
          </w:p>
        </w:tc>
        <w:tc>
          <w:tcPr>
            <w:tcW w:w="3402" w:type="dxa"/>
          </w:tcPr>
          <w:p w14:paraId="0ECA8311" w14:textId="49B23EC2" w:rsidR="00EE27AC" w:rsidRDefault="00EE27AC" w:rsidP="00EE27AC">
            <w:pPr>
              <w:tabs>
                <w:tab w:val="left" w:pos="67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14800</w:t>
            </w:r>
          </w:p>
        </w:tc>
      </w:tr>
      <w:tr w:rsidR="00EE27AC" w14:paraId="410DB859" w14:textId="77777777" w:rsidTr="00EE27AC">
        <w:trPr>
          <w:jc w:val="center"/>
        </w:trPr>
        <w:tc>
          <w:tcPr>
            <w:tcW w:w="3369" w:type="dxa"/>
          </w:tcPr>
          <w:p w14:paraId="11B89FB6" w14:textId="653D97FC" w:rsidR="00EE27AC" w:rsidRDefault="00EE27AC" w:rsidP="00EE27AC">
            <w:pPr>
              <w:tabs>
                <w:tab w:val="left" w:pos="67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HFC-32</w:t>
            </w:r>
          </w:p>
        </w:tc>
        <w:tc>
          <w:tcPr>
            <w:tcW w:w="3402" w:type="dxa"/>
          </w:tcPr>
          <w:p w14:paraId="72D3C3DC" w14:textId="06FC8A86" w:rsidR="00EE27AC" w:rsidRDefault="00EE27AC" w:rsidP="00EE27AC">
            <w:pPr>
              <w:tabs>
                <w:tab w:val="left" w:pos="67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675</w:t>
            </w:r>
          </w:p>
        </w:tc>
      </w:tr>
      <w:tr w:rsidR="00EE27AC" w14:paraId="204A737A" w14:textId="77777777" w:rsidTr="00EE27AC">
        <w:trPr>
          <w:jc w:val="center"/>
        </w:trPr>
        <w:tc>
          <w:tcPr>
            <w:tcW w:w="3369" w:type="dxa"/>
          </w:tcPr>
          <w:p w14:paraId="4665F7B0" w14:textId="365D4325" w:rsidR="00EE27AC" w:rsidRDefault="00EE27AC" w:rsidP="00EE27AC">
            <w:pPr>
              <w:tabs>
                <w:tab w:val="left" w:pos="67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HFC-125</w:t>
            </w:r>
          </w:p>
        </w:tc>
        <w:tc>
          <w:tcPr>
            <w:tcW w:w="3402" w:type="dxa"/>
          </w:tcPr>
          <w:p w14:paraId="50DBEE1B" w14:textId="32E5BE9B" w:rsidR="00EE27AC" w:rsidRDefault="00EE27AC" w:rsidP="00EE27AC">
            <w:pPr>
              <w:tabs>
                <w:tab w:val="left" w:pos="67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3500</w:t>
            </w:r>
          </w:p>
        </w:tc>
      </w:tr>
      <w:tr w:rsidR="00EE27AC" w14:paraId="79D85652" w14:textId="77777777" w:rsidTr="00EE27AC">
        <w:trPr>
          <w:jc w:val="center"/>
        </w:trPr>
        <w:tc>
          <w:tcPr>
            <w:tcW w:w="3369" w:type="dxa"/>
          </w:tcPr>
          <w:p w14:paraId="633CD7D9" w14:textId="4557DF4B" w:rsidR="00EE27AC" w:rsidRDefault="00EE27AC" w:rsidP="00EE27AC">
            <w:pPr>
              <w:tabs>
                <w:tab w:val="left" w:pos="67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HFC-134a</w:t>
            </w:r>
          </w:p>
        </w:tc>
        <w:tc>
          <w:tcPr>
            <w:tcW w:w="3402" w:type="dxa"/>
          </w:tcPr>
          <w:p w14:paraId="30319971" w14:textId="571E11EB" w:rsidR="00EE27AC" w:rsidRDefault="00EE27AC" w:rsidP="00EE27AC">
            <w:pPr>
              <w:tabs>
                <w:tab w:val="left" w:pos="67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1430</w:t>
            </w:r>
          </w:p>
        </w:tc>
      </w:tr>
      <w:tr w:rsidR="00EE27AC" w14:paraId="06946C86" w14:textId="77777777" w:rsidTr="00EE27AC">
        <w:trPr>
          <w:jc w:val="center"/>
        </w:trPr>
        <w:tc>
          <w:tcPr>
            <w:tcW w:w="3369" w:type="dxa"/>
          </w:tcPr>
          <w:p w14:paraId="7B74728F" w14:textId="66283010" w:rsidR="00EE27AC" w:rsidRDefault="00EE27AC" w:rsidP="00EE27AC">
            <w:pPr>
              <w:tabs>
                <w:tab w:val="left" w:pos="67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HFC-143a</w:t>
            </w:r>
          </w:p>
        </w:tc>
        <w:tc>
          <w:tcPr>
            <w:tcW w:w="3402" w:type="dxa"/>
          </w:tcPr>
          <w:p w14:paraId="3D5BD202" w14:textId="2EC8C7EE" w:rsidR="00EE27AC" w:rsidRDefault="00EE27AC" w:rsidP="00EE27AC">
            <w:pPr>
              <w:tabs>
                <w:tab w:val="left" w:pos="67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4470</w:t>
            </w:r>
          </w:p>
        </w:tc>
      </w:tr>
      <w:tr w:rsidR="00EE27AC" w14:paraId="506ECB7B" w14:textId="77777777" w:rsidTr="00EE27AC">
        <w:trPr>
          <w:jc w:val="center"/>
        </w:trPr>
        <w:tc>
          <w:tcPr>
            <w:tcW w:w="3369" w:type="dxa"/>
          </w:tcPr>
          <w:p w14:paraId="07140356" w14:textId="50A06126" w:rsidR="00EE27AC" w:rsidRDefault="00EE27AC" w:rsidP="00EE27AC">
            <w:pPr>
              <w:tabs>
                <w:tab w:val="left" w:pos="67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HFC-152a</w:t>
            </w:r>
          </w:p>
        </w:tc>
        <w:tc>
          <w:tcPr>
            <w:tcW w:w="3402" w:type="dxa"/>
          </w:tcPr>
          <w:p w14:paraId="25D0A5A1" w14:textId="33BBD90E" w:rsidR="00EE27AC" w:rsidRDefault="00EE27AC" w:rsidP="00EE27AC">
            <w:pPr>
              <w:tabs>
                <w:tab w:val="left" w:pos="67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</w:p>
        </w:tc>
      </w:tr>
      <w:tr w:rsidR="00EE27AC" w14:paraId="7A13E44B" w14:textId="77777777" w:rsidTr="00EE27AC">
        <w:trPr>
          <w:jc w:val="center"/>
        </w:trPr>
        <w:tc>
          <w:tcPr>
            <w:tcW w:w="3369" w:type="dxa"/>
          </w:tcPr>
          <w:p w14:paraId="508DA38F" w14:textId="59BE7D7B" w:rsidR="00EE27AC" w:rsidRDefault="00EE27AC" w:rsidP="00EE27AC">
            <w:pPr>
              <w:tabs>
                <w:tab w:val="left" w:pos="67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HFC-245fa</w:t>
            </w:r>
          </w:p>
        </w:tc>
        <w:tc>
          <w:tcPr>
            <w:tcW w:w="3402" w:type="dxa"/>
          </w:tcPr>
          <w:p w14:paraId="64C87A97" w14:textId="7BE0AB3A" w:rsidR="00EE27AC" w:rsidRDefault="00EE27AC" w:rsidP="00EE27AC">
            <w:pPr>
              <w:tabs>
                <w:tab w:val="left" w:pos="67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1030</w:t>
            </w:r>
          </w:p>
        </w:tc>
      </w:tr>
      <w:tr w:rsidR="00EE27AC" w14:paraId="581FD186" w14:textId="77777777" w:rsidTr="00EE27AC">
        <w:trPr>
          <w:jc w:val="center"/>
        </w:trPr>
        <w:tc>
          <w:tcPr>
            <w:tcW w:w="3369" w:type="dxa"/>
          </w:tcPr>
          <w:p w14:paraId="4E1ADAD1" w14:textId="5E2F1E44" w:rsidR="00EE27AC" w:rsidRDefault="00EE27AC" w:rsidP="00EE27AC">
            <w:pPr>
              <w:tabs>
                <w:tab w:val="left" w:pos="67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HFC-365mfc</w:t>
            </w:r>
          </w:p>
        </w:tc>
        <w:tc>
          <w:tcPr>
            <w:tcW w:w="3402" w:type="dxa"/>
          </w:tcPr>
          <w:p w14:paraId="77497524" w14:textId="50A91242" w:rsidR="00EE27AC" w:rsidRDefault="00EE27AC" w:rsidP="00EE27AC">
            <w:pPr>
              <w:tabs>
                <w:tab w:val="left" w:pos="67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794</w:t>
            </w:r>
          </w:p>
        </w:tc>
      </w:tr>
      <w:tr w:rsidR="00EE27AC" w14:paraId="564D8072" w14:textId="77777777" w:rsidTr="00EE27AC">
        <w:trPr>
          <w:jc w:val="center"/>
        </w:trPr>
        <w:tc>
          <w:tcPr>
            <w:tcW w:w="3369" w:type="dxa"/>
          </w:tcPr>
          <w:p w14:paraId="167A32D8" w14:textId="6A8B2BCF" w:rsidR="00EE27AC" w:rsidRDefault="00EE27AC" w:rsidP="00EE27AC">
            <w:pPr>
              <w:tabs>
                <w:tab w:val="left" w:pos="67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HFC-227ea</w:t>
            </w:r>
          </w:p>
        </w:tc>
        <w:tc>
          <w:tcPr>
            <w:tcW w:w="3402" w:type="dxa"/>
          </w:tcPr>
          <w:p w14:paraId="68FD3E57" w14:textId="781C818F" w:rsidR="00EE27AC" w:rsidRDefault="00EE27AC" w:rsidP="00EE27AC">
            <w:pPr>
              <w:tabs>
                <w:tab w:val="left" w:pos="67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3220</w:t>
            </w:r>
          </w:p>
        </w:tc>
      </w:tr>
      <w:tr w:rsidR="00EE27AC" w14:paraId="0C9487D3" w14:textId="77777777" w:rsidTr="00EE27AC">
        <w:trPr>
          <w:jc w:val="center"/>
        </w:trPr>
        <w:tc>
          <w:tcPr>
            <w:tcW w:w="3369" w:type="dxa"/>
          </w:tcPr>
          <w:p w14:paraId="358B8914" w14:textId="78A33CB0" w:rsidR="00EE27AC" w:rsidRDefault="00EE27AC" w:rsidP="00EE27AC">
            <w:pPr>
              <w:tabs>
                <w:tab w:val="left" w:pos="67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SF</w:t>
            </w:r>
            <w:r w:rsidRPr="00EE27A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3402" w:type="dxa"/>
          </w:tcPr>
          <w:p w14:paraId="4516890D" w14:textId="295C21CD" w:rsidR="00EE27AC" w:rsidRDefault="00EE27AC" w:rsidP="00EE27AC">
            <w:pPr>
              <w:tabs>
                <w:tab w:val="left" w:pos="672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22800</w:t>
            </w:r>
          </w:p>
        </w:tc>
      </w:tr>
    </w:tbl>
    <w:p w14:paraId="5B26DD43" w14:textId="7CBBFAAF" w:rsidR="00165A77" w:rsidRDefault="00165A77" w:rsidP="00165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Piezīme. </w:t>
      </w:r>
      <w:r w:rsidRPr="00696B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Saskaņā ar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Eiropas Parlamenta un Padomes 2014. gada 16. aprīļa</w:t>
      </w:r>
      <w:r w:rsidRPr="00696B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Regulas Nr.</w:t>
      </w:r>
      <w:r w:rsidRPr="00696B0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5" w:tgtFrame="_blank" w:history="1">
        <w:r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517/2014</w:t>
        </w:r>
      </w:hyperlink>
      <w:r w:rsidRPr="00696B0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96B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par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fluorētām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siltumnīcefekta gāzēm</w:t>
      </w:r>
      <w:r w:rsidR="003444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un ar ko atceļ Regulu (EK) Nr.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842/2006</w:t>
      </w:r>
      <w:r w:rsidRPr="0076419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64196">
        <w:rPr>
          <w:rFonts w:ascii="Times New Roman" w:hAnsi="Times New Roman" w:cs="Times New Roman"/>
          <w:sz w:val="24"/>
          <w:szCs w:val="24"/>
          <w:shd w:val="clear" w:color="auto" w:fill="FFFFFF"/>
        </w:rPr>
        <w:t>I pielikumu.</w:t>
      </w:r>
    </w:p>
    <w:p w14:paraId="26DD8E05" w14:textId="77777777" w:rsidR="00EE27AC" w:rsidRDefault="00EE27AC" w:rsidP="00EB4349">
      <w:pPr>
        <w:tabs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B8A5072" w14:textId="77777777" w:rsidR="00BC4D45" w:rsidRDefault="00BC4D45" w:rsidP="00EB4349">
      <w:pPr>
        <w:tabs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43D1643" w14:textId="77777777" w:rsidR="00DE4AA6" w:rsidRPr="00EB4349" w:rsidRDefault="00DE4AA6" w:rsidP="00EB4349">
      <w:pPr>
        <w:tabs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4349">
        <w:rPr>
          <w:rFonts w:ascii="Times New Roman" w:eastAsia="Times New Roman" w:hAnsi="Times New Roman" w:cs="Times New Roman"/>
          <w:sz w:val="28"/>
          <w:szCs w:val="28"/>
        </w:rPr>
        <w:t>Vides aizsardzības un</w:t>
      </w:r>
    </w:p>
    <w:p w14:paraId="368BAABC" w14:textId="0790E87A" w:rsidR="00DE4AA6" w:rsidRDefault="00DE4AA6" w:rsidP="00EB4349">
      <w:pPr>
        <w:tabs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B4349">
        <w:rPr>
          <w:rFonts w:ascii="Times New Roman" w:eastAsia="Times New Roman" w:hAnsi="Times New Roman" w:cs="Times New Roman"/>
          <w:sz w:val="28"/>
          <w:szCs w:val="28"/>
        </w:rPr>
        <w:t>reģionālās attīstības ministrs</w:t>
      </w:r>
      <w:r w:rsidRPr="00EB4349">
        <w:rPr>
          <w:rFonts w:ascii="Times New Roman" w:eastAsia="Times New Roman" w:hAnsi="Times New Roman" w:cs="Times New Roman"/>
          <w:sz w:val="28"/>
          <w:szCs w:val="28"/>
        </w:rPr>
        <w:tab/>
        <w:t>K</w:t>
      </w:r>
      <w:r w:rsidR="0034443E">
        <w:rPr>
          <w:rFonts w:ascii="Times New Roman" w:eastAsia="Times New Roman" w:hAnsi="Times New Roman" w:cs="Times New Roman"/>
          <w:sz w:val="28"/>
          <w:szCs w:val="28"/>
        </w:rPr>
        <w:t>aspars</w:t>
      </w:r>
      <w:r w:rsidR="00DD1C7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B4349">
        <w:rPr>
          <w:rFonts w:ascii="Times New Roman" w:eastAsia="Times New Roman" w:hAnsi="Times New Roman" w:cs="Times New Roman"/>
          <w:sz w:val="28"/>
          <w:szCs w:val="28"/>
        </w:rPr>
        <w:t>Gerhards</w:t>
      </w:r>
    </w:p>
    <w:p w14:paraId="2721B016" w14:textId="77777777" w:rsidR="00EB4349" w:rsidRDefault="00EB4349" w:rsidP="00EB4349">
      <w:pPr>
        <w:tabs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26D01E6" w14:textId="77777777" w:rsidR="00B94CF9" w:rsidRPr="00F94E9A" w:rsidRDefault="00B94CF9" w:rsidP="00B94CF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94CF9" w:rsidRPr="00F94E9A" w:rsidSect="009F748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83527A" w14:textId="77777777" w:rsidR="009A3FBA" w:rsidRDefault="009A3FBA" w:rsidP="00142CA5">
      <w:pPr>
        <w:spacing w:after="0" w:line="240" w:lineRule="auto"/>
      </w:pPr>
      <w:r>
        <w:separator/>
      </w:r>
    </w:p>
  </w:endnote>
  <w:endnote w:type="continuationSeparator" w:id="0">
    <w:p w14:paraId="1155A416" w14:textId="77777777" w:rsidR="009A3FBA" w:rsidRDefault="009A3FBA" w:rsidP="00142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BA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E8332" w14:textId="77777777" w:rsidR="008E378B" w:rsidRDefault="008E37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3908D" w14:textId="26B4F806" w:rsidR="009A3FBA" w:rsidRPr="001E2A10" w:rsidRDefault="008E378B" w:rsidP="001E2A10">
    <w:pPr>
      <w:pStyle w:val="Footer"/>
      <w:rPr>
        <w:rFonts w:ascii="Times New Roman" w:hAnsi="Times New Roman" w:cs="Times New Roman"/>
      </w:rPr>
    </w:pPr>
    <w:fldSimple w:instr=" FILENAME   \* MERGEFORMAT ">
      <w:r w:rsidR="003C4790" w:rsidRPr="003C4790">
        <w:rPr>
          <w:rFonts w:ascii="Times New Roman" w:hAnsi="Times New Roman" w:cs="Times New Roman"/>
          <w:noProof/>
          <w:sz w:val="20"/>
        </w:rPr>
        <w:t>VARAMNot_p_190417_SEG</w:t>
      </w:r>
    </w:fldSimple>
    <w:bookmarkStart w:id="2" w:name="_GoBack"/>
    <w:bookmarkEnd w:id="2"/>
    <w:r w:rsidR="009A3FBA">
      <w:rPr>
        <w:rFonts w:ascii="Times New Roman" w:hAnsi="Times New Roman" w:cs="Times New Roman"/>
        <w:sz w:val="20"/>
      </w:rPr>
      <w:t>; Ministru kabineta noteikumu projekta “</w:t>
    </w:r>
    <w:r w:rsidR="009A3FBA">
      <w:rPr>
        <w:rFonts w:ascii="Times New Roman" w:hAnsi="Times New Roman" w:cs="Times New Roman"/>
        <w:sz w:val="20"/>
        <w:szCs w:val="20"/>
      </w:rPr>
      <w:t>Siltumnīcefekta gāzu emisiju aprēķina metodika</w:t>
    </w:r>
    <w:r w:rsidR="009A3FBA">
      <w:rPr>
        <w:rFonts w:ascii="Times New Roman" w:hAnsi="Times New Roman" w:cs="Times New Roman"/>
        <w:sz w:val="20"/>
      </w:rPr>
      <w:t>” pielikums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15801" w14:textId="77777777" w:rsidR="008E378B" w:rsidRDefault="008E37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9D1CAF" w14:textId="77777777" w:rsidR="009A3FBA" w:rsidRDefault="009A3FBA" w:rsidP="00142CA5">
      <w:pPr>
        <w:spacing w:after="0" w:line="240" w:lineRule="auto"/>
      </w:pPr>
      <w:r>
        <w:separator/>
      </w:r>
    </w:p>
  </w:footnote>
  <w:footnote w:type="continuationSeparator" w:id="0">
    <w:p w14:paraId="053DE81C" w14:textId="77777777" w:rsidR="009A3FBA" w:rsidRDefault="009A3FBA" w:rsidP="00142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71C1E" w14:textId="77777777" w:rsidR="008E378B" w:rsidRDefault="008E37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69631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01DAF71D" w14:textId="77777777" w:rsidR="009A3FBA" w:rsidRPr="00142CA5" w:rsidRDefault="009A3FBA">
        <w:pPr>
          <w:pStyle w:val="Header"/>
          <w:jc w:val="center"/>
          <w:rPr>
            <w:rFonts w:ascii="Times New Roman" w:hAnsi="Times New Roman" w:cs="Times New Roman"/>
          </w:rPr>
        </w:pPr>
        <w:r w:rsidRPr="00142CA5">
          <w:rPr>
            <w:rFonts w:ascii="Times New Roman" w:hAnsi="Times New Roman" w:cs="Times New Roman"/>
          </w:rPr>
          <w:fldChar w:fldCharType="begin"/>
        </w:r>
        <w:r w:rsidRPr="00142CA5">
          <w:rPr>
            <w:rFonts w:ascii="Times New Roman" w:hAnsi="Times New Roman" w:cs="Times New Roman"/>
          </w:rPr>
          <w:instrText xml:space="preserve"> PAGE   \* MERGEFORMAT </w:instrText>
        </w:r>
        <w:r w:rsidRPr="00142CA5">
          <w:rPr>
            <w:rFonts w:ascii="Times New Roman" w:hAnsi="Times New Roman" w:cs="Times New Roman"/>
          </w:rPr>
          <w:fldChar w:fldCharType="separate"/>
        </w:r>
        <w:r w:rsidR="003C4790">
          <w:rPr>
            <w:rFonts w:ascii="Times New Roman" w:hAnsi="Times New Roman" w:cs="Times New Roman"/>
            <w:noProof/>
          </w:rPr>
          <w:t>1</w:t>
        </w:r>
        <w:r w:rsidRPr="00142CA5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846D47F" w14:textId="77777777" w:rsidR="009A3FBA" w:rsidRDefault="009A3F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A4670" w14:textId="77777777" w:rsidR="008E378B" w:rsidRDefault="008E37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83B3B"/>
    <w:multiLevelType w:val="hybridMultilevel"/>
    <w:tmpl w:val="4CB66318"/>
    <w:lvl w:ilvl="0" w:tplc="BBBA7D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617BF8"/>
    <w:multiLevelType w:val="multilevel"/>
    <w:tmpl w:val="41D4E3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C85D67"/>
    <w:multiLevelType w:val="hybridMultilevel"/>
    <w:tmpl w:val="70ACFBAE"/>
    <w:lvl w:ilvl="0" w:tplc="04B00D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42CA5"/>
    <w:rsid w:val="00006418"/>
    <w:rsid w:val="000123E8"/>
    <w:rsid w:val="0002399E"/>
    <w:rsid w:val="00043BF8"/>
    <w:rsid w:val="00057F05"/>
    <w:rsid w:val="000825D9"/>
    <w:rsid w:val="000A21EF"/>
    <w:rsid w:val="000C1F78"/>
    <w:rsid w:val="000C67BA"/>
    <w:rsid w:val="000D4D35"/>
    <w:rsid w:val="000F01DD"/>
    <w:rsid w:val="000F46FA"/>
    <w:rsid w:val="0010465B"/>
    <w:rsid w:val="001206C5"/>
    <w:rsid w:val="001308F5"/>
    <w:rsid w:val="001334D7"/>
    <w:rsid w:val="001342AC"/>
    <w:rsid w:val="00134977"/>
    <w:rsid w:val="001403CB"/>
    <w:rsid w:val="00142CA5"/>
    <w:rsid w:val="00165A77"/>
    <w:rsid w:val="00172480"/>
    <w:rsid w:val="001773E8"/>
    <w:rsid w:val="0018044F"/>
    <w:rsid w:val="00190591"/>
    <w:rsid w:val="001A4C14"/>
    <w:rsid w:val="001C727F"/>
    <w:rsid w:val="001C7B64"/>
    <w:rsid w:val="001E2A10"/>
    <w:rsid w:val="00217D6D"/>
    <w:rsid w:val="00222943"/>
    <w:rsid w:val="00227F6B"/>
    <w:rsid w:val="00230F4C"/>
    <w:rsid w:val="00243ABA"/>
    <w:rsid w:val="00251D0A"/>
    <w:rsid w:val="0025798A"/>
    <w:rsid w:val="0026210D"/>
    <w:rsid w:val="0027226B"/>
    <w:rsid w:val="00274E20"/>
    <w:rsid w:val="00277452"/>
    <w:rsid w:val="00283F1D"/>
    <w:rsid w:val="002B30CB"/>
    <w:rsid w:val="002C0FB3"/>
    <w:rsid w:val="002E010B"/>
    <w:rsid w:val="002E099D"/>
    <w:rsid w:val="002E4EF2"/>
    <w:rsid w:val="002E5DD2"/>
    <w:rsid w:val="002E6D21"/>
    <w:rsid w:val="002F1445"/>
    <w:rsid w:val="002F58C1"/>
    <w:rsid w:val="0030051E"/>
    <w:rsid w:val="00304C16"/>
    <w:rsid w:val="003050DE"/>
    <w:rsid w:val="00312D74"/>
    <w:rsid w:val="00313F49"/>
    <w:rsid w:val="003173A0"/>
    <w:rsid w:val="003173F2"/>
    <w:rsid w:val="00322950"/>
    <w:rsid w:val="00324FCA"/>
    <w:rsid w:val="00343CFA"/>
    <w:rsid w:val="0034443E"/>
    <w:rsid w:val="00345895"/>
    <w:rsid w:val="00354653"/>
    <w:rsid w:val="00354C84"/>
    <w:rsid w:val="00356824"/>
    <w:rsid w:val="00365447"/>
    <w:rsid w:val="00381489"/>
    <w:rsid w:val="00387661"/>
    <w:rsid w:val="00391CE8"/>
    <w:rsid w:val="003973C2"/>
    <w:rsid w:val="003A6558"/>
    <w:rsid w:val="003B4122"/>
    <w:rsid w:val="003C4790"/>
    <w:rsid w:val="003E4BC0"/>
    <w:rsid w:val="003F6375"/>
    <w:rsid w:val="004215E3"/>
    <w:rsid w:val="004329BD"/>
    <w:rsid w:val="00437CAF"/>
    <w:rsid w:val="0044217A"/>
    <w:rsid w:val="00450F65"/>
    <w:rsid w:val="00457595"/>
    <w:rsid w:val="0046038D"/>
    <w:rsid w:val="004666DF"/>
    <w:rsid w:val="004A457E"/>
    <w:rsid w:val="004A6053"/>
    <w:rsid w:val="004A6E35"/>
    <w:rsid w:val="004C14CA"/>
    <w:rsid w:val="004C2406"/>
    <w:rsid w:val="004C3383"/>
    <w:rsid w:val="004D62D3"/>
    <w:rsid w:val="00514B63"/>
    <w:rsid w:val="00515A43"/>
    <w:rsid w:val="00522680"/>
    <w:rsid w:val="0052508D"/>
    <w:rsid w:val="00527440"/>
    <w:rsid w:val="00554A77"/>
    <w:rsid w:val="00561618"/>
    <w:rsid w:val="00561C6A"/>
    <w:rsid w:val="0057089C"/>
    <w:rsid w:val="00570FC4"/>
    <w:rsid w:val="00572E66"/>
    <w:rsid w:val="00581C75"/>
    <w:rsid w:val="00583CDE"/>
    <w:rsid w:val="00584CFE"/>
    <w:rsid w:val="005908AA"/>
    <w:rsid w:val="00593284"/>
    <w:rsid w:val="005A05EA"/>
    <w:rsid w:val="005A30FB"/>
    <w:rsid w:val="005A715F"/>
    <w:rsid w:val="005B698B"/>
    <w:rsid w:val="005C5842"/>
    <w:rsid w:val="005D5CFC"/>
    <w:rsid w:val="005E5BC1"/>
    <w:rsid w:val="005F2D9B"/>
    <w:rsid w:val="005F3A54"/>
    <w:rsid w:val="005F4688"/>
    <w:rsid w:val="005F4B15"/>
    <w:rsid w:val="005F5C1D"/>
    <w:rsid w:val="00614A8A"/>
    <w:rsid w:val="00622650"/>
    <w:rsid w:val="00625F05"/>
    <w:rsid w:val="00646917"/>
    <w:rsid w:val="00660CBD"/>
    <w:rsid w:val="00662033"/>
    <w:rsid w:val="006711BF"/>
    <w:rsid w:val="00691044"/>
    <w:rsid w:val="00691F6E"/>
    <w:rsid w:val="00696B0C"/>
    <w:rsid w:val="006B01FC"/>
    <w:rsid w:val="006B1BDF"/>
    <w:rsid w:val="006B33B8"/>
    <w:rsid w:val="006B3493"/>
    <w:rsid w:val="006E2B2E"/>
    <w:rsid w:val="006E3605"/>
    <w:rsid w:val="006E789B"/>
    <w:rsid w:val="00701369"/>
    <w:rsid w:val="007018B7"/>
    <w:rsid w:val="00701B4B"/>
    <w:rsid w:val="00713BB7"/>
    <w:rsid w:val="00714A90"/>
    <w:rsid w:val="00723AA6"/>
    <w:rsid w:val="0073221A"/>
    <w:rsid w:val="00742B66"/>
    <w:rsid w:val="00760B22"/>
    <w:rsid w:val="00764196"/>
    <w:rsid w:val="00766600"/>
    <w:rsid w:val="00770C7E"/>
    <w:rsid w:val="007725C3"/>
    <w:rsid w:val="0077677A"/>
    <w:rsid w:val="007777A6"/>
    <w:rsid w:val="00782522"/>
    <w:rsid w:val="00790884"/>
    <w:rsid w:val="007957DA"/>
    <w:rsid w:val="00797893"/>
    <w:rsid w:val="007A47A0"/>
    <w:rsid w:val="007A7C44"/>
    <w:rsid w:val="007B3ED2"/>
    <w:rsid w:val="007E0DC9"/>
    <w:rsid w:val="007E1127"/>
    <w:rsid w:val="007E56AF"/>
    <w:rsid w:val="00800CB1"/>
    <w:rsid w:val="00802545"/>
    <w:rsid w:val="0080264C"/>
    <w:rsid w:val="008043D6"/>
    <w:rsid w:val="00822C7E"/>
    <w:rsid w:val="00824693"/>
    <w:rsid w:val="008351EB"/>
    <w:rsid w:val="008701A0"/>
    <w:rsid w:val="00875030"/>
    <w:rsid w:val="00876C95"/>
    <w:rsid w:val="00883680"/>
    <w:rsid w:val="00885C1D"/>
    <w:rsid w:val="00895F34"/>
    <w:rsid w:val="00897700"/>
    <w:rsid w:val="008B3747"/>
    <w:rsid w:val="008E378B"/>
    <w:rsid w:val="00904A4E"/>
    <w:rsid w:val="00915637"/>
    <w:rsid w:val="009171CE"/>
    <w:rsid w:val="00926B84"/>
    <w:rsid w:val="009353E3"/>
    <w:rsid w:val="00935F05"/>
    <w:rsid w:val="00944A04"/>
    <w:rsid w:val="00947470"/>
    <w:rsid w:val="00953964"/>
    <w:rsid w:val="009744EE"/>
    <w:rsid w:val="009805C3"/>
    <w:rsid w:val="00995EE3"/>
    <w:rsid w:val="00997FE8"/>
    <w:rsid w:val="009A140D"/>
    <w:rsid w:val="009A3FBA"/>
    <w:rsid w:val="009B1DBB"/>
    <w:rsid w:val="009B68C7"/>
    <w:rsid w:val="009C45B5"/>
    <w:rsid w:val="009D11AC"/>
    <w:rsid w:val="009E6143"/>
    <w:rsid w:val="009F1056"/>
    <w:rsid w:val="009F2A50"/>
    <w:rsid w:val="009F4824"/>
    <w:rsid w:val="009F64D4"/>
    <w:rsid w:val="009F748A"/>
    <w:rsid w:val="00A00A89"/>
    <w:rsid w:val="00A16E3F"/>
    <w:rsid w:val="00A224AA"/>
    <w:rsid w:val="00A2610E"/>
    <w:rsid w:val="00A44410"/>
    <w:rsid w:val="00A457DE"/>
    <w:rsid w:val="00A45A54"/>
    <w:rsid w:val="00A65B7D"/>
    <w:rsid w:val="00A72610"/>
    <w:rsid w:val="00A74BFB"/>
    <w:rsid w:val="00A74DBB"/>
    <w:rsid w:val="00A77C96"/>
    <w:rsid w:val="00A840A6"/>
    <w:rsid w:val="00A8464A"/>
    <w:rsid w:val="00AA1382"/>
    <w:rsid w:val="00AB3606"/>
    <w:rsid w:val="00AC1DDD"/>
    <w:rsid w:val="00AC40D4"/>
    <w:rsid w:val="00AC6FFD"/>
    <w:rsid w:val="00AE1547"/>
    <w:rsid w:val="00B0778C"/>
    <w:rsid w:val="00B17FB0"/>
    <w:rsid w:val="00B624E8"/>
    <w:rsid w:val="00B62D34"/>
    <w:rsid w:val="00B713DB"/>
    <w:rsid w:val="00B72EA9"/>
    <w:rsid w:val="00B80A48"/>
    <w:rsid w:val="00B94CF9"/>
    <w:rsid w:val="00BA0B3C"/>
    <w:rsid w:val="00BB2F26"/>
    <w:rsid w:val="00BC4D45"/>
    <w:rsid w:val="00BC674E"/>
    <w:rsid w:val="00BE3BE4"/>
    <w:rsid w:val="00BF13ED"/>
    <w:rsid w:val="00BF32FE"/>
    <w:rsid w:val="00C04ACE"/>
    <w:rsid w:val="00C2178A"/>
    <w:rsid w:val="00C33960"/>
    <w:rsid w:val="00C42BA1"/>
    <w:rsid w:val="00C62356"/>
    <w:rsid w:val="00C64A98"/>
    <w:rsid w:val="00C81DAA"/>
    <w:rsid w:val="00C83990"/>
    <w:rsid w:val="00C852D7"/>
    <w:rsid w:val="00C909B5"/>
    <w:rsid w:val="00C9199C"/>
    <w:rsid w:val="00C91B42"/>
    <w:rsid w:val="00CC32E9"/>
    <w:rsid w:val="00CC6BFE"/>
    <w:rsid w:val="00CE1345"/>
    <w:rsid w:val="00CF65CB"/>
    <w:rsid w:val="00D017DB"/>
    <w:rsid w:val="00D01988"/>
    <w:rsid w:val="00D03D52"/>
    <w:rsid w:val="00D12987"/>
    <w:rsid w:val="00D21206"/>
    <w:rsid w:val="00D237C8"/>
    <w:rsid w:val="00D43F15"/>
    <w:rsid w:val="00D456C5"/>
    <w:rsid w:val="00D519B9"/>
    <w:rsid w:val="00D745B7"/>
    <w:rsid w:val="00D76776"/>
    <w:rsid w:val="00D85B34"/>
    <w:rsid w:val="00D90854"/>
    <w:rsid w:val="00D929ED"/>
    <w:rsid w:val="00D96282"/>
    <w:rsid w:val="00DA1D36"/>
    <w:rsid w:val="00DB0490"/>
    <w:rsid w:val="00DC088C"/>
    <w:rsid w:val="00DD1C7B"/>
    <w:rsid w:val="00DE4AA6"/>
    <w:rsid w:val="00DE7FE7"/>
    <w:rsid w:val="00DF317B"/>
    <w:rsid w:val="00DF43B7"/>
    <w:rsid w:val="00DF480B"/>
    <w:rsid w:val="00DF705D"/>
    <w:rsid w:val="00E015B5"/>
    <w:rsid w:val="00E05654"/>
    <w:rsid w:val="00E14AAB"/>
    <w:rsid w:val="00E26C80"/>
    <w:rsid w:val="00E405E7"/>
    <w:rsid w:val="00E60AB0"/>
    <w:rsid w:val="00E702E9"/>
    <w:rsid w:val="00E740AD"/>
    <w:rsid w:val="00E742B7"/>
    <w:rsid w:val="00E803FA"/>
    <w:rsid w:val="00E8082A"/>
    <w:rsid w:val="00E854B8"/>
    <w:rsid w:val="00E9207F"/>
    <w:rsid w:val="00EB01E4"/>
    <w:rsid w:val="00EB4349"/>
    <w:rsid w:val="00EC70B2"/>
    <w:rsid w:val="00EE27AC"/>
    <w:rsid w:val="00EF03A3"/>
    <w:rsid w:val="00EF60EA"/>
    <w:rsid w:val="00F10C26"/>
    <w:rsid w:val="00F114F9"/>
    <w:rsid w:val="00F13D20"/>
    <w:rsid w:val="00F25C51"/>
    <w:rsid w:val="00F2672A"/>
    <w:rsid w:val="00F51DD5"/>
    <w:rsid w:val="00F52F5E"/>
    <w:rsid w:val="00F55B0B"/>
    <w:rsid w:val="00F56A78"/>
    <w:rsid w:val="00F573B0"/>
    <w:rsid w:val="00F573E2"/>
    <w:rsid w:val="00F67382"/>
    <w:rsid w:val="00F748F2"/>
    <w:rsid w:val="00F94149"/>
    <w:rsid w:val="00FA5444"/>
    <w:rsid w:val="00FB44EE"/>
    <w:rsid w:val="00FC2AA1"/>
    <w:rsid w:val="00FC68BE"/>
    <w:rsid w:val="00FD01CB"/>
    <w:rsid w:val="00FD5A08"/>
    <w:rsid w:val="00FE0C78"/>
    <w:rsid w:val="00FF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749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Footnote Reference Number,SUPERS,number,BVI fnr,Footnote symbol,Footnote symboFußnotenzeichen,Footnote sign,Footnote Reference Superscript,Footnote number,-E Fußnotenzeichen,EN Footnote Reference,-E Fuﬂnotenzeichen,-E Fuûnotenzeichen"/>
    <w:link w:val="FootnoteRefernece"/>
    <w:qFormat/>
    <w:rsid w:val="00142CA5"/>
    <w:rPr>
      <w:vertAlign w:val="superscript"/>
    </w:rPr>
  </w:style>
  <w:style w:type="paragraph" w:styleId="FootnoteText">
    <w:name w:val="footnote text"/>
    <w:aliases w:val="Footnote,Fußnote,Fußnotentext Char,Fußnotentext Char1 Char1,Fußnotentext Char Char Char Char,Fußnotentext Char1 Char Char Char,Fußnotentext Char Char,Fußnotentext Char1 Char Char Char Char,Fußnotentext Char Char Char Char Char Char,Fußn,f"/>
    <w:basedOn w:val="Normal"/>
    <w:link w:val="FootnoteTextChar"/>
    <w:uiPriority w:val="99"/>
    <w:qFormat/>
    <w:rsid w:val="00142CA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Footnote Char,Fußnote Char,Fußnotentext Char Char1,Fußnotentext Char1 Char1 Char,Fußnotentext Char Char Char Char Char,Fußnotentext Char1 Char Char Char Char1,Fußnotentext Char Char Char,Fußnotentext Char1 Char Char Char Char Char"/>
    <w:basedOn w:val="DefaultParagraphFont"/>
    <w:link w:val="FootnoteText"/>
    <w:uiPriority w:val="99"/>
    <w:rsid w:val="00142CA5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FootnoteRefernece">
    <w:name w:val="Footnote Refernece"/>
    <w:aliases w:val="ftref,Odwołanie przypisu,Footnotes refss,Ref,de nota al pie,E,E FNZ"/>
    <w:basedOn w:val="Normal"/>
    <w:next w:val="Normal"/>
    <w:link w:val="FootnoteReference"/>
    <w:rsid w:val="00142CA5"/>
    <w:pPr>
      <w:spacing w:after="160" w:line="240" w:lineRule="exact"/>
      <w:ind w:firstLine="567"/>
      <w:jc w:val="both"/>
      <w:textAlignment w:val="baseline"/>
    </w:pPr>
    <w:rPr>
      <w:vertAlign w:val="superscript"/>
    </w:rPr>
  </w:style>
  <w:style w:type="table" w:styleId="TableGrid">
    <w:name w:val="Table Grid"/>
    <w:basedOn w:val="TableNormal"/>
    <w:uiPriority w:val="59"/>
    <w:rsid w:val="00142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42C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2C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2CA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C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2C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CA5"/>
  </w:style>
  <w:style w:type="paragraph" w:styleId="Footer">
    <w:name w:val="footer"/>
    <w:basedOn w:val="Normal"/>
    <w:link w:val="FooterChar"/>
    <w:uiPriority w:val="99"/>
    <w:unhideWhenUsed/>
    <w:rsid w:val="00142C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CA5"/>
  </w:style>
  <w:style w:type="paragraph" w:customStyle="1" w:styleId="naisf">
    <w:name w:val="naisf"/>
    <w:basedOn w:val="Normal"/>
    <w:rsid w:val="00DE4AA6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E5DD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74BFB"/>
  </w:style>
  <w:style w:type="character" w:styleId="Hyperlink">
    <w:name w:val="Hyperlink"/>
    <w:basedOn w:val="DefaultParagraphFont"/>
    <w:uiPriority w:val="99"/>
    <w:semiHidden/>
    <w:unhideWhenUsed/>
    <w:rsid w:val="00A74BFB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25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2545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797893"/>
    <w:rPr>
      <w:color w:val="808080"/>
    </w:rPr>
  </w:style>
  <w:style w:type="paragraph" w:styleId="Revision">
    <w:name w:val="Revision"/>
    <w:hidden/>
    <w:uiPriority w:val="99"/>
    <w:semiHidden/>
    <w:rsid w:val="002E099D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1206C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206C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206C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EE2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eur-lex.europa.eu/eli/reg/2012/601/oj/?locale=LV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eur-lex.europa.eu/eli/dir/2003/87/oj/?locale=LV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eur-lex.europa.eu/eli/reg/2012/601/oj/?locale=LV" TargetMode="External"/><Relationship Id="rId5" Type="http://schemas.openxmlformats.org/officeDocument/2006/relationships/styles" Target="styles.xml"/><Relationship Id="rId15" Type="http://schemas.openxmlformats.org/officeDocument/2006/relationships/hyperlink" Target="http://eur-lex.europa.eu/eli/reg/2012/601/oj/?locale=LV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eur-lex.europa.eu/eli/dir/2003/87/oj/?locale=LV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AC607-7A02-4C51-B5E2-9DAA953DC7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F208EA-5EE1-4336-A287-1E17025D2B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7CC69F-335E-4266-AC08-A4473A6DA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7</Pages>
  <Words>6552</Words>
  <Characters>3736</Characters>
  <Application>Microsoft Office Word</Application>
  <DocSecurity>0</DocSecurity>
  <Lines>31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 Sproģe</dc:creator>
  <cp:lastModifiedBy>Zane Galindoma</cp:lastModifiedBy>
  <cp:revision>49</cp:revision>
  <cp:lastPrinted>2017-03-07T12:06:00Z</cp:lastPrinted>
  <dcterms:created xsi:type="dcterms:W3CDTF">2017-03-26T16:09:00Z</dcterms:created>
  <dcterms:modified xsi:type="dcterms:W3CDTF">2017-04-19T06:00:00Z</dcterms:modified>
</cp:coreProperties>
</file>