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71" w:rsidRPr="000A1616" w:rsidRDefault="00B46871" w:rsidP="00194E10">
      <w:pPr>
        <w:spacing w:after="0" w:line="240" w:lineRule="auto"/>
        <w:ind w:right="142" w:firstLine="720"/>
        <w:jc w:val="right"/>
        <w:rPr>
          <w:rFonts w:ascii="Times New Roman" w:hAnsi="Times New Roman" w:cs="Times New Roman"/>
          <w:i/>
          <w:sz w:val="28"/>
          <w:szCs w:val="28"/>
        </w:rPr>
      </w:pPr>
      <w:r w:rsidRPr="000A1616">
        <w:rPr>
          <w:rFonts w:ascii="Times New Roman" w:hAnsi="Times New Roman" w:cs="Times New Roman"/>
          <w:i/>
          <w:sz w:val="28"/>
          <w:szCs w:val="28"/>
        </w:rPr>
        <w:t>Projekts</w:t>
      </w:r>
    </w:p>
    <w:p w:rsidR="00832395" w:rsidRPr="000A1616" w:rsidRDefault="00832395" w:rsidP="00194E10">
      <w:pPr>
        <w:spacing w:after="0" w:line="240" w:lineRule="auto"/>
        <w:ind w:firstLine="720"/>
        <w:rPr>
          <w:rFonts w:ascii="Times New Roman" w:hAnsi="Times New Roman" w:cs="Times New Roman"/>
          <w:sz w:val="28"/>
          <w:szCs w:val="28"/>
        </w:rPr>
      </w:pPr>
    </w:p>
    <w:p w:rsidR="00832395" w:rsidRPr="000A1616" w:rsidRDefault="00832395" w:rsidP="00194E10">
      <w:pPr>
        <w:spacing w:after="0" w:line="240" w:lineRule="auto"/>
        <w:ind w:firstLine="720"/>
        <w:jc w:val="center"/>
        <w:rPr>
          <w:rFonts w:ascii="Times New Roman" w:hAnsi="Times New Roman" w:cs="Times New Roman"/>
          <w:sz w:val="28"/>
          <w:szCs w:val="28"/>
        </w:rPr>
      </w:pPr>
      <w:proofErr w:type="gramStart"/>
      <w:r w:rsidRPr="000A1616">
        <w:rPr>
          <w:rFonts w:ascii="Times New Roman" w:hAnsi="Times New Roman" w:cs="Times New Roman"/>
          <w:sz w:val="28"/>
          <w:szCs w:val="28"/>
        </w:rPr>
        <w:t>LATVIJAS REPUBLIKAS MINISTRU KABINETS</w:t>
      </w:r>
      <w:proofErr w:type="gramEnd"/>
    </w:p>
    <w:p w:rsidR="00832395" w:rsidRDefault="00832395" w:rsidP="00194E10">
      <w:pPr>
        <w:spacing w:after="0" w:line="240" w:lineRule="auto"/>
        <w:ind w:firstLine="720"/>
        <w:jc w:val="center"/>
        <w:rPr>
          <w:rFonts w:ascii="Times New Roman" w:hAnsi="Times New Roman" w:cs="Times New Roman"/>
          <w:sz w:val="28"/>
          <w:szCs w:val="28"/>
        </w:rPr>
      </w:pPr>
    </w:p>
    <w:p w:rsidR="00194E10" w:rsidRPr="000A1616" w:rsidRDefault="00194E10" w:rsidP="00194E10">
      <w:pPr>
        <w:spacing w:after="0" w:line="240" w:lineRule="auto"/>
        <w:ind w:firstLine="720"/>
        <w:jc w:val="center"/>
        <w:rPr>
          <w:rFonts w:ascii="Times New Roman" w:hAnsi="Times New Roman" w:cs="Times New Roman"/>
          <w:sz w:val="28"/>
          <w:szCs w:val="28"/>
        </w:rPr>
      </w:pPr>
    </w:p>
    <w:tbl>
      <w:tblPr>
        <w:tblW w:w="9125" w:type="dxa"/>
        <w:tblLayout w:type="fixed"/>
        <w:tblLook w:val="0000" w:firstRow="0" w:lastRow="0" w:firstColumn="0" w:lastColumn="0" w:noHBand="0" w:noVBand="0"/>
      </w:tblPr>
      <w:tblGrid>
        <w:gridCol w:w="4500"/>
        <w:gridCol w:w="2088"/>
        <w:gridCol w:w="2537"/>
      </w:tblGrid>
      <w:tr w:rsidR="00832395" w:rsidRPr="000A1616" w:rsidTr="001B3C88">
        <w:trPr>
          <w:cantSplit/>
          <w:trHeight w:val="909"/>
        </w:trPr>
        <w:tc>
          <w:tcPr>
            <w:tcW w:w="4500" w:type="dxa"/>
          </w:tcPr>
          <w:p w:rsidR="00832395" w:rsidRPr="000A1616" w:rsidRDefault="00832395" w:rsidP="00194E10">
            <w:pPr>
              <w:spacing w:after="0" w:line="240" w:lineRule="auto"/>
              <w:ind w:firstLine="720"/>
              <w:rPr>
                <w:rFonts w:ascii="Times New Roman" w:hAnsi="Times New Roman" w:cs="Times New Roman"/>
                <w:sz w:val="28"/>
                <w:szCs w:val="28"/>
              </w:rPr>
            </w:pPr>
          </w:p>
          <w:p w:rsidR="00832395" w:rsidRPr="000A1616" w:rsidRDefault="00832395" w:rsidP="00194E10">
            <w:pPr>
              <w:spacing w:after="0" w:line="240" w:lineRule="auto"/>
              <w:ind w:firstLine="720"/>
              <w:rPr>
                <w:rFonts w:ascii="Times New Roman" w:hAnsi="Times New Roman" w:cs="Times New Roman"/>
                <w:sz w:val="28"/>
                <w:szCs w:val="28"/>
              </w:rPr>
            </w:pPr>
            <w:r w:rsidRPr="000A1616">
              <w:rPr>
                <w:rFonts w:ascii="Times New Roman" w:hAnsi="Times New Roman" w:cs="Times New Roman"/>
                <w:sz w:val="28"/>
                <w:szCs w:val="28"/>
              </w:rPr>
              <w:t>201</w:t>
            </w:r>
            <w:r w:rsidR="006B437C" w:rsidRPr="000A1616">
              <w:rPr>
                <w:rFonts w:ascii="Times New Roman" w:hAnsi="Times New Roman" w:cs="Times New Roman"/>
                <w:sz w:val="28"/>
                <w:szCs w:val="28"/>
              </w:rPr>
              <w:t>5</w:t>
            </w:r>
            <w:r w:rsidRPr="000A1616">
              <w:rPr>
                <w:rFonts w:ascii="Times New Roman" w:hAnsi="Times New Roman" w:cs="Times New Roman"/>
                <w:sz w:val="28"/>
                <w:szCs w:val="28"/>
              </w:rPr>
              <w:t>. gada “____” ____________</w:t>
            </w:r>
          </w:p>
          <w:p w:rsidR="00832395" w:rsidRPr="000A1616" w:rsidRDefault="00832395" w:rsidP="00194E10">
            <w:pPr>
              <w:spacing w:after="0" w:line="240" w:lineRule="auto"/>
              <w:ind w:firstLine="720"/>
              <w:rPr>
                <w:rFonts w:ascii="Times New Roman" w:hAnsi="Times New Roman" w:cs="Times New Roman"/>
                <w:sz w:val="28"/>
                <w:szCs w:val="28"/>
              </w:rPr>
            </w:pPr>
            <w:r w:rsidRPr="000A1616">
              <w:rPr>
                <w:rFonts w:ascii="Times New Roman" w:hAnsi="Times New Roman" w:cs="Times New Roman"/>
                <w:sz w:val="28"/>
                <w:szCs w:val="28"/>
              </w:rPr>
              <w:t>Rīgā</w:t>
            </w:r>
          </w:p>
        </w:tc>
        <w:tc>
          <w:tcPr>
            <w:tcW w:w="2088" w:type="dxa"/>
          </w:tcPr>
          <w:p w:rsidR="00832395" w:rsidRPr="000A1616" w:rsidRDefault="00832395" w:rsidP="00194E10">
            <w:pPr>
              <w:spacing w:after="0" w:line="240" w:lineRule="auto"/>
              <w:ind w:firstLine="720"/>
              <w:rPr>
                <w:rFonts w:ascii="Times New Roman" w:hAnsi="Times New Roman" w:cs="Times New Roman"/>
                <w:sz w:val="28"/>
                <w:szCs w:val="28"/>
              </w:rPr>
            </w:pPr>
          </w:p>
        </w:tc>
        <w:tc>
          <w:tcPr>
            <w:tcW w:w="2537" w:type="dxa"/>
          </w:tcPr>
          <w:p w:rsidR="00832395" w:rsidRPr="000A1616" w:rsidRDefault="00832395" w:rsidP="00194E10">
            <w:pPr>
              <w:spacing w:after="0" w:line="240" w:lineRule="auto"/>
              <w:ind w:firstLine="720"/>
              <w:rPr>
                <w:rFonts w:ascii="Times New Roman" w:hAnsi="Times New Roman" w:cs="Times New Roman"/>
                <w:sz w:val="28"/>
                <w:szCs w:val="28"/>
              </w:rPr>
            </w:pPr>
          </w:p>
          <w:p w:rsidR="00832395" w:rsidRPr="000A1616" w:rsidRDefault="00832395" w:rsidP="00194E10">
            <w:pPr>
              <w:spacing w:after="0" w:line="240" w:lineRule="auto"/>
              <w:ind w:firstLine="720"/>
              <w:rPr>
                <w:rFonts w:ascii="Times New Roman" w:hAnsi="Times New Roman" w:cs="Times New Roman"/>
                <w:sz w:val="28"/>
                <w:szCs w:val="28"/>
              </w:rPr>
            </w:pPr>
            <w:r w:rsidRPr="000A1616">
              <w:rPr>
                <w:rFonts w:ascii="Times New Roman" w:hAnsi="Times New Roman" w:cs="Times New Roman"/>
                <w:sz w:val="28"/>
                <w:szCs w:val="28"/>
              </w:rPr>
              <w:t>Noteikumi Nr.</w:t>
            </w:r>
          </w:p>
          <w:p w:rsidR="00832395" w:rsidRPr="000A1616" w:rsidRDefault="00832395" w:rsidP="00194E10">
            <w:pPr>
              <w:spacing w:after="0" w:line="240" w:lineRule="auto"/>
              <w:ind w:firstLine="720"/>
              <w:rPr>
                <w:rFonts w:ascii="Times New Roman" w:hAnsi="Times New Roman" w:cs="Times New Roman"/>
                <w:sz w:val="28"/>
                <w:szCs w:val="28"/>
              </w:rPr>
            </w:pPr>
            <w:r w:rsidRPr="000A1616">
              <w:rPr>
                <w:rFonts w:ascii="Times New Roman" w:hAnsi="Times New Roman" w:cs="Times New Roman"/>
                <w:sz w:val="28"/>
                <w:szCs w:val="28"/>
              </w:rPr>
              <w:t>(prot. Nr. ______)</w:t>
            </w:r>
          </w:p>
        </w:tc>
      </w:tr>
    </w:tbl>
    <w:p w:rsidR="00832395" w:rsidRDefault="00832395" w:rsidP="00194E10">
      <w:pPr>
        <w:spacing w:after="0" w:line="240" w:lineRule="auto"/>
        <w:ind w:firstLine="720"/>
        <w:rPr>
          <w:rFonts w:ascii="Times New Roman" w:hAnsi="Times New Roman" w:cs="Times New Roman"/>
          <w:sz w:val="28"/>
          <w:szCs w:val="28"/>
        </w:rPr>
      </w:pPr>
    </w:p>
    <w:p w:rsidR="00194E10" w:rsidRPr="000A1616" w:rsidRDefault="00194E10" w:rsidP="00194E10">
      <w:pPr>
        <w:spacing w:after="0" w:line="240" w:lineRule="auto"/>
        <w:ind w:firstLine="720"/>
        <w:rPr>
          <w:rFonts w:ascii="Times New Roman" w:hAnsi="Times New Roman" w:cs="Times New Roman"/>
          <w:sz w:val="28"/>
          <w:szCs w:val="28"/>
        </w:rPr>
      </w:pPr>
    </w:p>
    <w:p w:rsidR="00832395" w:rsidRPr="00FF3865" w:rsidRDefault="00832395" w:rsidP="00194E10">
      <w:pPr>
        <w:spacing w:after="0" w:line="240" w:lineRule="auto"/>
        <w:ind w:firstLine="720"/>
        <w:jc w:val="center"/>
        <w:rPr>
          <w:rFonts w:ascii="Times New Roman" w:hAnsi="Times New Roman" w:cs="Times New Roman"/>
          <w:b/>
          <w:sz w:val="28"/>
          <w:szCs w:val="28"/>
        </w:rPr>
      </w:pPr>
      <w:r w:rsidRPr="00FF3865">
        <w:rPr>
          <w:rFonts w:ascii="Times New Roman" w:hAnsi="Times New Roman" w:cs="Times New Roman"/>
          <w:b/>
          <w:sz w:val="28"/>
          <w:szCs w:val="28"/>
        </w:rPr>
        <w:t xml:space="preserve">Grozījumi Ministru kabineta </w:t>
      </w:r>
      <w:proofErr w:type="gramStart"/>
      <w:r w:rsidR="00161BEB" w:rsidRPr="00FF3865">
        <w:rPr>
          <w:rFonts w:ascii="Times New Roman" w:hAnsi="Times New Roman" w:cs="Times New Roman"/>
          <w:b/>
          <w:sz w:val="28"/>
          <w:szCs w:val="28"/>
        </w:rPr>
        <w:t>2011.gada</w:t>
      </w:r>
      <w:proofErr w:type="gramEnd"/>
      <w:r w:rsidR="00161BEB" w:rsidRPr="00FF3865">
        <w:rPr>
          <w:rFonts w:ascii="Times New Roman" w:hAnsi="Times New Roman" w:cs="Times New Roman"/>
          <w:b/>
          <w:sz w:val="28"/>
          <w:szCs w:val="28"/>
        </w:rPr>
        <w:t xml:space="preserve"> 26</w:t>
      </w:r>
      <w:r w:rsidR="00324E17" w:rsidRPr="00FF3865">
        <w:rPr>
          <w:rFonts w:ascii="Times New Roman" w:hAnsi="Times New Roman" w:cs="Times New Roman"/>
          <w:b/>
          <w:sz w:val="28"/>
          <w:szCs w:val="28"/>
        </w:rPr>
        <w:t>.</w:t>
      </w:r>
      <w:r w:rsidR="00726231" w:rsidRPr="00FF3865">
        <w:rPr>
          <w:rFonts w:ascii="Times New Roman" w:hAnsi="Times New Roman" w:cs="Times New Roman"/>
          <w:b/>
          <w:sz w:val="28"/>
          <w:szCs w:val="28"/>
        </w:rPr>
        <w:t>aprīļa</w:t>
      </w:r>
      <w:r w:rsidR="00324E17" w:rsidRPr="00FF3865">
        <w:rPr>
          <w:rFonts w:ascii="Times New Roman" w:hAnsi="Times New Roman" w:cs="Times New Roman"/>
          <w:b/>
          <w:sz w:val="28"/>
          <w:szCs w:val="28"/>
        </w:rPr>
        <w:t xml:space="preserve"> </w:t>
      </w:r>
      <w:r w:rsidRPr="00FF3865">
        <w:rPr>
          <w:rFonts w:ascii="Times New Roman" w:hAnsi="Times New Roman" w:cs="Times New Roman"/>
          <w:b/>
          <w:sz w:val="28"/>
          <w:szCs w:val="28"/>
        </w:rPr>
        <w:t>noteikumos Nr.</w:t>
      </w:r>
      <w:r w:rsidR="00161BEB" w:rsidRPr="00FF3865">
        <w:rPr>
          <w:rFonts w:ascii="Times New Roman" w:hAnsi="Times New Roman" w:cs="Times New Roman"/>
          <w:b/>
          <w:sz w:val="28"/>
          <w:szCs w:val="28"/>
        </w:rPr>
        <w:t>319</w:t>
      </w:r>
      <w:r w:rsidRPr="00FF3865">
        <w:rPr>
          <w:rFonts w:ascii="Times New Roman" w:hAnsi="Times New Roman" w:cs="Times New Roman"/>
          <w:b/>
          <w:sz w:val="28"/>
          <w:szCs w:val="28"/>
        </w:rPr>
        <w:t xml:space="preserve"> „</w:t>
      </w:r>
      <w:r w:rsidR="00324E17" w:rsidRPr="00FF3865">
        <w:rPr>
          <w:rFonts w:ascii="Times New Roman" w:hAnsi="Times New Roman" w:cs="Times New Roman"/>
          <w:b/>
          <w:sz w:val="28"/>
          <w:szCs w:val="28"/>
        </w:rPr>
        <w:t xml:space="preserve">Noteikumi par </w:t>
      </w:r>
      <w:r w:rsidR="00726231" w:rsidRPr="00FF3865">
        <w:rPr>
          <w:rFonts w:ascii="Times New Roman" w:hAnsi="Times New Roman" w:cs="Times New Roman"/>
          <w:b/>
          <w:sz w:val="28"/>
          <w:szCs w:val="28"/>
        </w:rPr>
        <w:t xml:space="preserve">atkritumu </w:t>
      </w:r>
      <w:r w:rsidR="00161BEB" w:rsidRPr="00FF3865">
        <w:rPr>
          <w:rFonts w:ascii="Times New Roman" w:hAnsi="Times New Roman" w:cs="Times New Roman"/>
          <w:b/>
          <w:sz w:val="28"/>
          <w:szCs w:val="28"/>
        </w:rPr>
        <w:t>reģenerācijas un apglabāšanas veidiem</w:t>
      </w:r>
      <w:r w:rsidRPr="00FF3865">
        <w:rPr>
          <w:rFonts w:ascii="Times New Roman" w:hAnsi="Times New Roman" w:cs="Times New Roman"/>
          <w:b/>
          <w:sz w:val="28"/>
          <w:szCs w:val="28"/>
        </w:rPr>
        <w:t>”</w:t>
      </w:r>
    </w:p>
    <w:p w:rsidR="00832395" w:rsidRPr="000A1616" w:rsidRDefault="00832395" w:rsidP="00194E10">
      <w:pPr>
        <w:spacing w:after="0" w:line="240" w:lineRule="auto"/>
        <w:ind w:firstLine="720"/>
        <w:rPr>
          <w:rFonts w:ascii="Times New Roman" w:hAnsi="Times New Roman" w:cs="Times New Roman"/>
          <w:sz w:val="28"/>
          <w:szCs w:val="28"/>
        </w:rPr>
      </w:pPr>
    </w:p>
    <w:p w:rsidR="00832395" w:rsidRPr="000A1616" w:rsidRDefault="00832395" w:rsidP="00194E10">
      <w:pPr>
        <w:spacing w:after="0" w:line="240" w:lineRule="auto"/>
        <w:ind w:firstLine="720"/>
        <w:rPr>
          <w:rFonts w:ascii="Times New Roman" w:hAnsi="Times New Roman" w:cs="Times New Roman"/>
          <w:sz w:val="28"/>
          <w:szCs w:val="28"/>
        </w:rPr>
      </w:pPr>
    </w:p>
    <w:p w:rsidR="00123F27" w:rsidRPr="00FF3865" w:rsidRDefault="00832395" w:rsidP="00194E10">
      <w:pPr>
        <w:spacing w:after="0" w:line="240" w:lineRule="auto"/>
        <w:ind w:firstLine="720"/>
        <w:jc w:val="right"/>
        <w:rPr>
          <w:rFonts w:ascii="Times New Roman" w:hAnsi="Times New Roman" w:cs="Times New Roman"/>
          <w:i/>
          <w:sz w:val="28"/>
          <w:szCs w:val="28"/>
        </w:rPr>
      </w:pPr>
      <w:r w:rsidRPr="00FF3865">
        <w:rPr>
          <w:rFonts w:ascii="Times New Roman" w:hAnsi="Times New Roman" w:cs="Times New Roman"/>
          <w:i/>
          <w:sz w:val="28"/>
          <w:szCs w:val="28"/>
        </w:rPr>
        <w:t xml:space="preserve">Izdoti saskaņā </w:t>
      </w:r>
      <w:r w:rsidR="00324E17" w:rsidRPr="00FF3865">
        <w:rPr>
          <w:rFonts w:ascii="Times New Roman" w:hAnsi="Times New Roman" w:cs="Times New Roman"/>
          <w:i/>
          <w:sz w:val="28"/>
          <w:szCs w:val="28"/>
        </w:rPr>
        <w:t>ar </w:t>
      </w:r>
      <w:r w:rsidR="00726231" w:rsidRPr="00FF3865">
        <w:rPr>
          <w:rFonts w:ascii="Times New Roman" w:hAnsi="Times New Roman" w:cs="Times New Roman"/>
          <w:i/>
          <w:sz w:val="28"/>
          <w:szCs w:val="28"/>
        </w:rPr>
        <w:t xml:space="preserve"> </w:t>
      </w:r>
      <w:r w:rsidR="00324E17" w:rsidRPr="00FF3865">
        <w:rPr>
          <w:rFonts w:ascii="Times New Roman" w:hAnsi="Times New Roman" w:cs="Times New Roman"/>
          <w:i/>
          <w:sz w:val="28"/>
          <w:szCs w:val="28"/>
        </w:rPr>
        <w:t>Atkr</w:t>
      </w:r>
      <w:r w:rsidR="00161BEB" w:rsidRPr="00FF3865">
        <w:rPr>
          <w:rFonts w:ascii="Times New Roman" w:hAnsi="Times New Roman" w:cs="Times New Roman"/>
          <w:i/>
          <w:sz w:val="28"/>
          <w:szCs w:val="28"/>
        </w:rPr>
        <w:t>itumu apsaimniekošanas likuma </w:t>
      </w:r>
    </w:p>
    <w:p w:rsidR="00832395" w:rsidRPr="00FF3865" w:rsidRDefault="00161BEB" w:rsidP="00194E10">
      <w:pPr>
        <w:spacing w:after="0" w:line="240" w:lineRule="auto"/>
        <w:ind w:firstLine="720"/>
        <w:jc w:val="right"/>
        <w:rPr>
          <w:rFonts w:ascii="Times New Roman" w:hAnsi="Times New Roman" w:cs="Times New Roman"/>
          <w:i/>
          <w:sz w:val="28"/>
          <w:szCs w:val="28"/>
        </w:rPr>
      </w:pPr>
      <w:proofErr w:type="gramStart"/>
      <w:r w:rsidRPr="00FF3865">
        <w:rPr>
          <w:rFonts w:ascii="Times New Roman" w:hAnsi="Times New Roman" w:cs="Times New Roman"/>
          <w:i/>
          <w:sz w:val="28"/>
          <w:szCs w:val="28"/>
        </w:rPr>
        <w:t>22</w:t>
      </w:r>
      <w:r w:rsidR="00324E17" w:rsidRPr="00FF3865">
        <w:rPr>
          <w:rFonts w:ascii="Times New Roman" w:hAnsi="Times New Roman" w:cs="Times New Roman"/>
          <w:i/>
          <w:sz w:val="28"/>
          <w:szCs w:val="28"/>
        </w:rPr>
        <w:t>.panta</w:t>
      </w:r>
      <w:proofErr w:type="gramEnd"/>
      <w:r w:rsidR="00324E17" w:rsidRPr="00FF3865">
        <w:rPr>
          <w:rFonts w:ascii="Times New Roman" w:hAnsi="Times New Roman" w:cs="Times New Roman"/>
          <w:i/>
          <w:sz w:val="28"/>
          <w:szCs w:val="28"/>
        </w:rPr>
        <w:t> </w:t>
      </w:r>
      <w:r w:rsidRPr="00FF3865">
        <w:rPr>
          <w:rFonts w:ascii="Times New Roman" w:hAnsi="Times New Roman" w:cs="Times New Roman"/>
          <w:i/>
          <w:sz w:val="28"/>
          <w:szCs w:val="28"/>
        </w:rPr>
        <w:t>otrās daļas 1.punktu</w:t>
      </w:r>
    </w:p>
    <w:p w:rsidR="004A3DDA" w:rsidRPr="000A1616" w:rsidRDefault="004A3DDA" w:rsidP="00017916">
      <w:pPr>
        <w:spacing w:after="0" w:line="240" w:lineRule="auto"/>
        <w:jc w:val="both"/>
        <w:rPr>
          <w:rFonts w:ascii="Times New Roman" w:hAnsi="Times New Roman" w:cs="Times New Roman"/>
          <w:sz w:val="28"/>
          <w:szCs w:val="28"/>
        </w:rPr>
      </w:pPr>
    </w:p>
    <w:p w:rsidR="00832395" w:rsidRDefault="00832395" w:rsidP="00194E10">
      <w:pPr>
        <w:spacing w:after="0" w:line="240" w:lineRule="auto"/>
        <w:ind w:firstLine="720"/>
        <w:jc w:val="both"/>
        <w:rPr>
          <w:rFonts w:ascii="Times New Roman" w:hAnsi="Times New Roman" w:cs="Times New Roman"/>
          <w:sz w:val="28"/>
          <w:szCs w:val="28"/>
        </w:rPr>
      </w:pPr>
      <w:r w:rsidRPr="000A1616">
        <w:rPr>
          <w:rFonts w:ascii="Times New Roman" w:hAnsi="Times New Roman" w:cs="Times New Roman"/>
          <w:sz w:val="28"/>
          <w:szCs w:val="28"/>
        </w:rPr>
        <w:t xml:space="preserve">Izdarīt </w:t>
      </w:r>
      <w:r w:rsidR="00EA1C15" w:rsidRPr="000A1616">
        <w:rPr>
          <w:rFonts w:ascii="Times New Roman" w:hAnsi="Times New Roman" w:cs="Times New Roman"/>
          <w:sz w:val="28"/>
          <w:szCs w:val="28"/>
        </w:rPr>
        <w:t xml:space="preserve">Ministru kabineta </w:t>
      </w:r>
      <w:proofErr w:type="gramStart"/>
      <w:r w:rsidR="009279E0" w:rsidRPr="000A1616">
        <w:rPr>
          <w:rFonts w:ascii="Times New Roman" w:hAnsi="Times New Roman" w:cs="Times New Roman"/>
          <w:sz w:val="28"/>
          <w:szCs w:val="28"/>
        </w:rPr>
        <w:t>2011.gada</w:t>
      </w:r>
      <w:proofErr w:type="gramEnd"/>
      <w:r w:rsidR="009279E0" w:rsidRPr="000A1616">
        <w:rPr>
          <w:rFonts w:ascii="Times New Roman" w:hAnsi="Times New Roman" w:cs="Times New Roman"/>
          <w:sz w:val="28"/>
          <w:szCs w:val="28"/>
        </w:rPr>
        <w:t xml:space="preserve"> 26</w:t>
      </w:r>
      <w:r w:rsidR="00F67DA3" w:rsidRPr="000A1616">
        <w:rPr>
          <w:rFonts w:ascii="Times New Roman" w:hAnsi="Times New Roman" w:cs="Times New Roman"/>
          <w:sz w:val="28"/>
          <w:szCs w:val="28"/>
        </w:rPr>
        <w:t>.aprīļa</w:t>
      </w:r>
      <w:r w:rsidR="005053BB" w:rsidRPr="000A1616">
        <w:rPr>
          <w:rFonts w:ascii="Times New Roman" w:hAnsi="Times New Roman" w:cs="Times New Roman"/>
          <w:sz w:val="28"/>
          <w:szCs w:val="28"/>
        </w:rPr>
        <w:t xml:space="preserve"> noteikumos Nr.</w:t>
      </w:r>
      <w:r w:rsidR="009279E0" w:rsidRPr="000A1616">
        <w:rPr>
          <w:rFonts w:ascii="Times New Roman" w:hAnsi="Times New Roman" w:cs="Times New Roman"/>
          <w:sz w:val="28"/>
          <w:szCs w:val="28"/>
        </w:rPr>
        <w:t>319</w:t>
      </w:r>
      <w:r w:rsidR="005053BB" w:rsidRPr="000A1616">
        <w:rPr>
          <w:rFonts w:ascii="Times New Roman" w:hAnsi="Times New Roman" w:cs="Times New Roman"/>
          <w:sz w:val="28"/>
          <w:szCs w:val="28"/>
        </w:rPr>
        <w:t xml:space="preserve"> „Noteikumi par </w:t>
      </w:r>
      <w:r w:rsidR="008725C6" w:rsidRPr="000A1616">
        <w:rPr>
          <w:rFonts w:ascii="Times New Roman" w:hAnsi="Times New Roman" w:cs="Times New Roman"/>
          <w:sz w:val="28"/>
          <w:szCs w:val="28"/>
        </w:rPr>
        <w:t xml:space="preserve">atkritumu </w:t>
      </w:r>
      <w:r w:rsidR="009279E0" w:rsidRPr="000A1616">
        <w:rPr>
          <w:rFonts w:ascii="Times New Roman" w:hAnsi="Times New Roman" w:cs="Times New Roman"/>
          <w:sz w:val="28"/>
          <w:szCs w:val="28"/>
        </w:rPr>
        <w:t>reģenerācijas un apglabāšanas veidiem</w:t>
      </w:r>
      <w:r w:rsidRPr="000A1616">
        <w:rPr>
          <w:rFonts w:ascii="Times New Roman" w:hAnsi="Times New Roman" w:cs="Times New Roman"/>
          <w:sz w:val="28"/>
          <w:szCs w:val="28"/>
        </w:rPr>
        <w:t>” (Latvijas Vēstnesis</w:t>
      </w:r>
      <w:r w:rsidR="00324E17" w:rsidRPr="000A1616">
        <w:rPr>
          <w:rFonts w:ascii="Times New Roman" w:hAnsi="Times New Roman" w:cs="Times New Roman"/>
          <w:sz w:val="28"/>
          <w:szCs w:val="28"/>
        </w:rPr>
        <w:t xml:space="preserve">, </w:t>
      </w:r>
      <w:r w:rsidR="009D02E8" w:rsidRPr="000A1616">
        <w:rPr>
          <w:rFonts w:ascii="Times New Roman" w:hAnsi="Times New Roman" w:cs="Times New Roman"/>
          <w:sz w:val="28"/>
          <w:szCs w:val="28"/>
        </w:rPr>
        <w:t>2011</w:t>
      </w:r>
      <w:r w:rsidRPr="000A1616">
        <w:rPr>
          <w:rFonts w:ascii="Times New Roman" w:hAnsi="Times New Roman" w:cs="Times New Roman"/>
          <w:sz w:val="28"/>
          <w:szCs w:val="28"/>
        </w:rPr>
        <w:t xml:space="preserve">, </w:t>
      </w:r>
      <w:r w:rsidR="004B7E92" w:rsidRPr="000A1616">
        <w:rPr>
          <w:rFonts w:ascii="Times New Roman" w:hAnsi="Times New Roman" w:cs="Times New Roman"/>
          <w:sz w:val="28"/>
          <w:szCs w:val="28"/>
        </w:rPr>
        <w:t>67</w:t>
      </w:r>
      <w:r w:rsidRPr="000A1616">
        <w:rPr>
          <w:rFonts w:ascii="Times New Roman" w:hAnsi="Times New Roman" w:cs="Times New Roman"/>
          <w:sz w:val="28"/>
          <w:szCs w:val="28"/>
        </w:rPr>
        <w:t>.nr.</w:t>
      </w:r>
      <w:r w:rsidR="006050F2">
        <w:rPr>
          <w:rFonts w:ascii="Times New Roman" w:hAnsi="Times New Roman" w:cs="Times New Roman"/>
          <w:sz w:val="28"/>
          <w:szCs w:val="28"/>
        </w:rPr>
        <w:t>; 2013</w:t>
      </w:r>
      <w:r w:rsidR="008A6814">
        <w:rPr>
          <w:rFonts w:ascii="Times New Roman" w:hAnsi="Times New Roman" w:cs="Times New Roman"/>
          <w:sz w:val="28"/>
          <w:szCs w:val="28"/>
        </w:rPr>
        <w:t>,</w:t>
      </w:r>
      <w:r w:rsidR="006050F2">
        <w:rPr>
          <w:rFonts w:ascii="Times New Roman" w:hAnsi="Times New Roman" w:cs="Times New Roman"/>
          <w:sz w:val="28"/>
          <w:szCs w:val="28"/>
        </w:rPr>
        <w:t xml:space="preserve"> 73.nr.</w:t>
      </w:r>
      <w:r w:rsidRPr="000A1616">
        <w:rPr>
          <w:rFonts w:ascii="Times New Roman" w:hAnsi="Times New Roman" w:cs="Times New Roman"/>
          <w:sz w:val="28"/>
          <w:szCs w:val="28"/>
        </w:rPr>
        <w:t>) šādus grozījumus:</w:t>
      </w:r>
    </w:p>
    <w:p w:rsidR="00F52F9F" w:rsidRDefault="00F52F9F" w:rsidP="00194E10">
      <w:pPr>
        <w:spacing w:after="0" w:line="240" w:lineRule="auto"/>
        <w:ind w:firstLine="720"/>
        <w:jc w:val="both"/>
        <w:rPr>
          <w:rFonts w:ascii="Times New Roman" w:hAnsi="Times New Roman" w:cs="Times New Roman"/>
          <w:sz w:val="28"/>
          <w:szCs w:val="28"/>
        </w:rPr>
      </w:pPr>
    </w:p>
    <w:p w:rsidR="00F52F9F" w:rsidRDefault="007330B8" w:rsidP="00194E1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F52F9F" w:rsidRPr="00D86EEA">
        <w:rPr>
          <w:rFonts w:ascii="Times New Roman" w:hAnsi="Times New Roman" w:cs="Times New Roman"/>
          <w:sz w:val="28"/>
          <w:szCs w:val="28"/>
        </w:rPr>
        <w:t>Izteikt informatīvo atsauci uz Eiropas Savienības direktīvām šādā redakcijā:</w:t>
      </w:r>
    </w:p>
    <w:p w:rsidR="00194E10" w:rsidRPr="00D86EEA" w:rsidRDefault="00194E10" w:rsidP="00194E10">
      <w:pPr>
        <w:spacing w:after="0" w:line="240" w:lineRule="auto"/>
        <w:ind w:firstLine="720"/>
        <w:jc w:val="both"/>
        <w:rPr>
          <w:rFonts w:ascii="Times New Roman" w:hAnsi="Times New Roman" w:cs="Times New Roman"/>
          <w:sz w:val="28"/>
          <w:szCs w:val="28"/>
        </w:rPr>
      </w:pPr>
    </w:p>
    <w:p w:rsidR="00F52F9F" w:rsidRDefault="00202CF1" w:rsidP="00194E10">
      <w:pPr>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w:t>
      </w:r>
      <w:r w:rsidR="008179C4" w:rsidRPr="00096B7D">
        <w:rPr>
          <w:rFonts w:ascii="Times New Roman" w:hAnsi="Times New Roman" w:cs="Times New Roman"/>
          <w:b/>
          <w:sz w:val="28"/>
          <w:szCs w:val="28"/>
        </w:rPr>
        <w:t>Informatīva atsauce uz Eiropas Savienības direktīvām</w:t>
      </w:r>
      <w:r w:rsidR="00096B7D">
        <w:rPr>
          <w:rFonts w:ascii="Times New Roman" w:hAnsi="Times New Roman" w:cs="Times New Roman"/>
          <w:b/>
          <w:sz w:val="28"/>
          <w:szCs w:val="28"/>
        </w:rPr>
        <w:t>”</w:t>
      </w:r>
    </w:p>
    <w:p w:rsidR="00F52F9F" w:rsidRPr="00B033C3" w:rsidRDefault="00F52F9F" w:rsidP="00194E10">
      <w:pPr>
        <w:spacing w:after="0" w:line="240" w:lineRule="auto"/>
        <w:ind w:firstLine="720"/>
        <w:jc w:val="both"/>
        <w:rPr>
          <w:rFonts w:ascii="Times New Roman" w:hAnsi="Times New Roman" w:cs="Times New Roman"/>
          <w:sz w:val="28"/>
          <w:szCs w:val="28"/>
        </w:rPr>
      </w:pPr>
      <w:r w:rsidRPr="00463B6F">
        <w:rPr>
          <w:rFonts w:ascii="Times New Roman" w:hAnsi="Times New Roman" w:cs="Times New Roman"/>
          <w:sz w:val="28"/>
          <w:szCs w:val="28"/>
        </w:rPr>
        <w:t>N</w:t>
      </w:r>
      <w:r w:rsidR="00463B6F" w:rsidRPr="00463B6F">
        <w:rPr>
          <w:rFonts w:ascii="Times New Roman" w:hAnsi="Times New Roman" w:cs="Times New Roman"/>
          <w:sz w:val="28"/>
          <w:szCs w:val="28"/>
        </w:rPr>
        <w:t>o</w:t>
      </w:r>
      <w:r w:rsidRPr="00B033C3">
        <w:rPr>
          <w:rFonts w:ascii="Times New Roman" w:hAnsi="Times New Roman" w:cs="Times New Roman"/>
          <w:sz w:val="28"/>
          <w:szCs w:val="28"/>
        </w:rPr>
        <w:t>teikumos iekļautas tiesību normas, kas izriet no:</w:t>
      </w:r>
    </w:p>
    <w:p w:rsidR="00F52F9F" w:rsidRPr="00194E10" w:rsidRDefault="00194E10" w:rsidP="00194E1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F52F9F" w:rsidRPr="00194E10">
        <w:rPr>
          <w:rFonts w:ascii="Times New Roman" w:hAnsi="Times New Roman" w:cs="Times New Roman"/>
          <w:sz w:val="28"/>
          <w:szCs w:val="28"/>
        </w:rPr>
        <w:t xml:space="preserve">Eiropas Parlamenta un Padomes </w:t>
      </w:r>
      <w:proofErr w:type="gramStart"/>
      <w:r w:rsidR="00F52F9F" w:rsidRPr="00194E10">
        <w:rPr>
          <w:rFonts w:ascii="Times New Roman" w:hAnsi="Times New Roman" w:cs="Times New Roman"/>
          <w:sz w:val="28"/>
          <w:szCs w:val="28"/>
        </w:rPr>
        <w:t>2008.gada</w:t>
      </w:r>
      <w:proofErr w:type="gramEnd"/>
      <w:r w:rsidR="00F52F9F" w:rsidRPr="00194E10">
        <w:rPr>
          <w:rFonts w:ascii="Times New Roman" w:hAnsi="Times New Roman" w:cs="Times New Roman"/>
          <w:sz w:val="28"/>
          <w:szCs w:val="28"/>
        </w:rPr>
        <w:t xml:space="preserve"> 19.novembra Direktīvas </w:t>
      </w:r>
      <w:hyperlink r:id="rId7" w:tgtFrame="_blank" w:history="1">
        <w:r w:rsidR="00F52F9F" w:rsidRPr="00194E10">
          <w:rPr>
            <w:rFonts w:ascii="Times New Roman" w:hAnsi="Times New Roman" w:cs="Times New Roman"/>
            <w:sz w:val="28"/>
            <w:szCs w:val="28"/>
          </w:rPr>
          <w:t>2008/98/EK</w:t>
        </w:r>
      </w:hyperlink>
      <w:r w:rsidR="00F52F9F" w:rsidRPr="00194E10">
        <w:rPr>
          <w:rFonts w:ascii="Times New Roman" w:hAnsi="Times New Roman" w:cs="Times New Roman"/>
          <w:sz w:val="28"/>
          <w:szCs w:val="28"/>
        </w:rPr>
        <w:t xml:space="preserve"> par atkritumiem un par dažu direktīvu atcelšanu;</w:t>
      </w:r>
    </w:p>
    <w:p w:rsidR="00F52F9F" w:rsidRPr="00B033C3" w:rsidRDefault="00194E10" w:rsidP="00194E1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00463B6F">
        <w:rPr>
          <w:rFonts w:ascii="Times New Roman" w:hAnsi="Times New Roman" w:cs="Times New Roman"/>
          <w:sz w:val="28"/>
          <w:szCs w:val="28"/>
        </w:rPr>
        <w:t xml:space="preserve">Eiropas Komisijas </w:t>
      </w:r>
      <w:proofErr w:type="gramStart"/>
      <w:r w:rsidR="00463B6F">
        <w:rPr>
          <w:rFonts w:ascii="Times New Roman" w:hAnsi="Times New Roman" w:cs="Times New Roman"/>
          <w:sz w:val="28"/>
          <w:szCs w:val="28"/>
        </w:rPr>
        <w:t>2015.gada</w:t>
      </w:r>
      <w:proofErr w:type="gramEnd"/>
      <w:r w:rsidR="00463B6F">
        <w:rPr>
          <w:rFonts w:ascii="Times New Roman" w:hAnsi="Times New Roman" w:cs="Times New Roman"/>
          <w:sz w:val="28"/>
          <w:szCs w:val="28"/>
        </w:rPr>
        <w:t xml:space="preserve"> 10.jūlija </w:t>
      </w:r>
      <w:r w:rsidR="0003548A">
        <w:rPr>
          <w:rFonts w:ascii="Times New Roman" w:hAnsi="Times New Roman" w:cs="Times New Roman"/>
          <w:sz w:val="28"/>
          <w:szCs w:val="28"/>
        </w:rPr>
        <w:t>D</w:t>
      </w:r>
      <w:r w:rsidR="00463B6F">
        <w:rPr>
          <w:rFonts w:ascii="Times New Roman" w:hAnsi="Times New Roman" w:cs="Times New Roman"/>
          <w:sz w:val="28"/>
          <w:szCs w:val="28"/>
        </w:rPr>
        <w:t>irektīvas 2015/1127/ES, ar ko groza II pielikumu Eiropas Parlamenta un Padomes Direktīvā 2008/98/EK par atkritumiem un par dažu direktīvu atcelšanu.”</w:t>
      </w:r>
    </w:p>
    <w:p w:rsidR="00EE5CC7" w:rsidRDefault="00EE5CC7" w:rsidP="00194E10">
      <w:pPr>
        <w:spacing w:after="0" w:line="240" w:lineRule="auto"/>
        <w:ind w:firstLine="720"/>
        <w:jc w:val="both"/>
        <w:rPr>
          <w:rFonts w:ascii="Times New Roman" w:hAnsi="Times New Roman" w:cs="Times New Roman"/>
          <w:sz w:val="28"/>
          <w:szCs w:val="28"/>
        </w:rPr>
      </w:pPr>
    </w:p>
    <w:p w:rsidR="00EE5CC7" w:rsidRPr="00FF3865" w:rsidRDefault="00FF3865" w:rsidP="00194E1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EE5CC7" w:rsidRPr="00FF3865">
        <w:rPr>
          <w:rFonts w:ascii="Times New Roman" w:hAnsi="Times New Roman" w:cs="Times New Roman"/>
          <w:sz w:val="28"/>
          <w:szCs w:val="28"/>
        </w:rPr>
        <w:t>Papildināt1.pielikum</w:t>
      </w:r>
      <w:r w:rsidR="00F52F9F" w:rsidRPr="00FF3865">
        <w:rPr>
          <w:rFonts w:ascii="Times New Roman" w:hAnsi="Times New Roman" w:cs="Times New Roman"/>
          <w:sz w:val="28"/>
          <w:szCs w:val="28"/>
        </w:rPr>
        <w:t xml:space="preserve">u </w:t>
      </w:r>
      <w:r w:rsidR="003D0E7D" w:rsidRPr="00FF3865">
        <w:rPr>
          <w:rFonts w:ascii="Times New Roman" w:hAnsi="Times New Roman" w:cs="Times New Roman"/>
          <w:sz w:val="28"/>
          <w:szCs w:val="28"/>
        </w:rPr>
        <w:t>ar 3.4.</w:t>
      </w:r>
      <w:r w:rsidR="008443CF" w:rsidRPr="00FF3865">
        <w:rPr>
          <w:rFonts w:ascii="Times New Roman" w:hAnsi="Times New Roman" w:cs="Times New Roman"/>
          <w:sz w:val="28"/>
          <w:szCs w:val="28"/>
        </w:rPr>
        <w:t xml:space="preserve"> </w:t>
      </w:r>
      <w:r w:rsidR="003D0E7D" w:rsidRPr="00FF3865">
        <w:rPr>
          <w:rFonts w:ascii="Times New Roman" w:hAnsi="Times New Roman" w:cs="Times New Roman"/>
          <w:sz w:val="28"/>
          <w:szCs w:val="28"/>
        </w:rPr>
        <w:t>apakšpunktu šādā redakcijā:</w:t>
      </w:r>
    </w:p>
    <w:p w:rsidR="00EE5CC7" w:rsidRDefault="00EE5CC7" w:rsidP="00194E10">
      <w:pPr>
        <w:pStyle w:val="ListParagraph"/>
        <w:spacing w:after="0" w:line="240" w:lineRule="auto"/>
        <w:ind w:left="0" w:firstLine="720"/>
        <w:jc w:val="both"/>
        <w:rPr>
          <w:rFonts w:ascii="Times New Roman" w:hAnsi="Times New Roman" w:cs="Times New Roman"/>
          <w:sz w:val="28"/>
          <w:szCs w:val="28"/>
        </w:rPr>
      </w:pPr>
    </w:p>
    <w:tbl>
      <w:tblPr>
        <w:tblStyle w:val="TableGrid"/>
        <w:tblW w:w="0" w:type="auto"/>
        <w:tblInd w:w="1440" w:type="dxa"/>
        <w:tblLook w:val="04A0" w:firstRow="1" w:lastRow="0" w:firstColumn="1" w:lastColumn="0" w:noHBand="0" w:noVBand="1"/>
      </w:tblPr>
      <w:tblGrid>
        <w:gridCol w:w="761"/>
        <w:gridCol w:w="561"/>
        <w:gridCol w:w="745"/>
        <w:gridCol w:w="5888"/>
      </w:tblGrid>
      <w:tr w:rsidR="00F36F38" w:rsidTr="00F36F38">
        <w:tc>
          <w:tcPr>
            <w:tcW w:w="682" w:type="dxa"/>
          </w:tcPr>
          <w:p w:rsidR="00F444EC" w:rsidRDefault="00A73A3A" w:rsidP="00194E10">
            <w:pPr>
              <w:pStyle w:val="ListParagraph"/>
              <w:ind w:left="0"/>
              <w:rPr>
                <w:rFonts w:ascii="Times New Roman" w:hAnsi="Times New Roman" w:cs="Times New Roman"/>
                <w:sz w:val="28"/>
                <w:szCs w:val="28"/>
              </w:rPr>
            </w:pPr>
            <w:r>
              <w:rPr>
                <w:rFonts w:ascii="Times New Roman" w:hAnsi="Times New Roman" w:cs="Times New Roman"/>
                <w:sz w:val="28"/>
                <w:szCs w:val="28"/>
              </w:rPr>
              <w:t>„</w:t>
            </w:r>
            <w:r w:rsidR="00D00214">
              <w:rPr>
                <w:rFonts w:ascii="Times New Roman" w:hAnsi="Times New Roman" w:cs="Times New Roman"/>
                <w:sz w:val="28"/>
                <w:szCs w:val="28"/>
              </w:rPr>
              <w:t>3.4.</w:t>
            </w:r>
          </w:p>
        </w:tc>
        <w:tc>
          <w:tcPr>
            <w:tcW w:w="567" w:type="dxa"/>
          </w:tcPr>
          <w:p w:rsidR="00F444EC" w:rsidRDefault="00F444EC" w:rsidP="00194E10">
            <w:pPr>
              <w:pStyle w:val="ListParagraph"/>
              <w:ind w:left="0"/>
              <w:rPr>
                <w:rFonts w:ascii="Times New Roman" w:hAnsi="Times New Roman" w:cs="Times New Roman"/>
                <w:sz w:val="28"/>
                <w:szCs w:val="28"/>
              </w:rPr>
            </w:pPr>
          </w:p>
        </w:tc>
        <w:tc>
          <w:tcPr>
            <w:tcW w:w="745" w:type="dxa"/>
          </w:tcPr>
          <w:p w:rsidR="00F444EC" w:rsidRDefault="00F36F38" w:rsidP="00194E10">
            <w:pPr>
              <w:pStyle w:val="ListParagraph"/>
              <w:ind w:left="0"/>
              <w:rPr>
                <w:rFonts w:ascii="Times New Roman" w:hAnsi="Times New Roman" w:cs="Times New Roman"/>
                <w:sz w:val="28"/>
                <w:szCs w:val="28"/>
              </w:rPr>
            </w:pPr>
            <w:r>
              <w:rPr>
                <w:rFonts w:ascii="Times New Roman" w:hAnsi="Times New Roman" w:cs="Times New Roman"/>
                <w:sz w:val="28"/>
                <w:szCs w:val="28"/>
              </w:rPr>
              <w:t>R3D</w:t>
            </w:r>
          </w:p>
        </w:tc>
        <w:tc>
          <w:tcPr>
            <w:tcW w:w="5961" w:type="dxa"/>
          </w:tcPr>
          <w:p w:rsidR="00F444EC" w:rsidRDefault="00F36F38" w:rsidP="00194E10">
            <w:pPr>
              <w:pStyle w:val="ListParagraph"/>
              <w:ind w:left="0"/>
              <w:rPr>
                <w:rFonts w:ascii="Times New Roman" w:hAnsi="Times New Roman" w:cs="Times New Roman"/>
                <w:sz w:val="28"/>
                <w:szCs w:val="28"/>
              </w:rPr>
            </w:pPr>
            <w:r>
              <w:rPr>
                <w:rFonts w:ascii="Times New Roman" w:hAnsi="Times New Roman" w:cs="Times New Roman"/>
                <w:sz w:val="28"/>
                <w:szCs w:val="28"/>
              </w:rPr>
              <w:t>Biogāzes ieguve</w:t>
            </w:r>
            <w:r w:rsidR="008443CF">
              <w:rPr>
                <w:rFonts w:ascii="Times New Roman" w:hAnsi="Times New Roman" w:cs="Times New Roman"/>
                <w:sz w:val="28"/>
                <w:szCs w:val="28"/>
              </w:rPr>
              <w:t xml:space="preserve"> (</w:t>
            </w:r>
            <w:r w:rsidR="00903C91">
              <w:rPr>
                <w:rFonts w:ascii="Times New Roman" w:hAnsi="Times New Roman" w:cs="Times New Roman"/>
                <w:sz w:val="28"/>
                <w:szCs w:val="28"/>
              </w:rPr>
              <w:t xml:space="preserve">izņemot </w:t>
            </w:r>
            <w:r w:rsidR="00ED3AFA">
              <w:rPr>
                <w:rFonts w:ascii="Times New Roman" w:hAnsi="Times New Roman" w:cs="Times New Roman"/>
                <w:sz w:val="28"/>
                <w:szCs w:val="28"/>
              </w:rPr>
              <w:t>biogāzi no atkritumi</w:t>
            </w:r>
            <w:r w:rsidR="00903C91">
              <w:rPr>
                <w:rFonts w:ascii="Times New Roman" w:hAnsi="Times New Roman" w:cs="Times New Roman"/>
                <w:sz w:val="28"/>
                <w:szCs w:val="28"/>
              </w:rPr>
              <w:t xml:space="preserve"> apglabāšanas</w:t>
            </w:r>
            <w:r w:rsidR="008443CF">
              <w:rPr>
                <w:rFonts w:ascii="Times New Roman" w:hAnsi="Times New Roman" w:cs="Times New Roman"/>
                <w:sz w:val="28"/>
                <w:szCs w:val="28"/>
              </w:rPr>
              <w:t>)</w:t>
            </w:r>
            <w:r w:rsidR="00A73A3A">
              <w:rPr>
                <w:rFonts w:ascii="Times New Roman" w:hAnsi="Times New Roman" w:cs="Times New Roman"/>
                <w:sz w:val="28"/>
                <w:szCs w:val="28"/>
              </w:rPr>
              <w:t>”</w:t>
            </w:r>
          </w:p>
        </w:tc>
      </w:tr>
    </w:tbl>
    <w:p w:rsidR="00EE5CC7" w:rsidRPr="00F444EC" w:rsidRDefault="00EE5CC7" w:rsidP="00194E10">
      <w:pPr>
        <w:spacing w:after="0" w:line="240" w:lineRule="auto"/>
        <w:ind w:firstLine="720"/>
        <w:jc w:val="right"/>
        <w:rPr>
          <w:rFonts w:ascii="Times New Roman" w:hAnsi="Times New Roman" w:cs="Times New Roman"/>
          <w:sz w:val="28"/>
          <w:szCs w:val="28"/>
        </w:rPr>
      </w:pPr>
    </w:p>
    <w:p w:rsidR="00EE5CC7" w:rsidRDefault="00EE5CC7" w:rsidP="00194E10">
      <w:pPr>
        <w:pStyle w:val="ListParagraph"/>
        <w:spacing w:after="0" w:line="240" w:lineRule="auto"/>
        <w:ind w:left="0" w:firstLine="720"/>
        <w:jc w:val="both"/>
        <w:rPr>
          <w:rFonts w:ascii="Times New Roman" w:hAnsi="Times New Roman" w:cs="Times New Roman"/>
          <w:sz w:val="28"/>
          <w:szCs w:val="28"/>
        </w:rPr>
      </w:pPr>
    </w:p>
    <w:p w:rsidR="00765B01" w:rsidRPr="00765B01" w:rsidRDefault="00282A9C" w:rsidP="00194E1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00715832" w:rsidRPr="00282A9C">
        <w:rPr>
          <w:rFonts w:ascii="Times New Roman" w:hAnsi="Times New Roman" w:cs="Times New Roman"/>
          <w:sz w:val="28"/>
          <w:szCs w:val="28"/>
        </w:rPr>
        <w:t>Papildināt</w:t>
      </w:r>
      <w:r w:rsidR="00DE33BF" w:rsidRPr="00282A9C">
        <w:rPr>
          <w:rFonts w:ascii="Times New Roman" w:hAnsi="Times New Roman" w:cs="Times New Roman"/>
          <w:sz w:val="28"/>
          <w:szCs w:val="28"/>
        </w:rPr>
        <w:t xml:space="preserve"> </w:t>
      </w:r>
      <w:r w:rsidR="00715832" w:rsidRPr="00282A9C">
        <w:rPr>
          <w:rFonts w:ascii="Times New Roman" w:hAnsi="Times New Roman" w:cs="Times New Roman"/>
          <w:sz w:val="28"/>
          <w:szCs w:val="28"/>
        </w:rPr>
        <w:t>1.pielikum</w:t>
      </w:r>
      <w:r w:rsidR="00F52F9F" w:rsidRPr="00282A9C">
        <w:rPr>
          <w:rFonts w:ascii="Times New Roman" w:hAnsi="Times New Roman" w:cs="Times New Roman"/>
          <w:sz w:val="28"/>
          <w:szCs w:val="28"/>
        </w:rPr>
        <w:t>u</w:t>
      </w:r>
      <w:r w:rsidR="0003548A">
        <w:rPr>
          <w:rFonts w:ascii="Times New Roman" w:hAnsi="Times New Roman" w:cs="Times New Roman"/>
          <w:sz w:val="28"/>
          <w:szCs w:val="28"/>
        </w:rPr>
        <w:t xml:space="preserve"> </w:t>
      </w:r>
      <w:r w:rsidR="00715832" w:rsidRPr="00282A9C">
        <w:rPr>
          <w:rFonts w:ascii="Times New Roman" w:hAnsi="Times New Roman" w:cs="Times New Roman"/>
          <w:sz w:val="28"/>
          <w:szCs w:val="28"/>
        </w:rPr>
        <w:t>ar 12.4.apakšpunktu šādā redakcijā:</w:t>
      </w:r>
    </w:p>
    <w:p w:rsidR="00715832" w:rsidRDefault="00715832" w:rsidP="00194E10">
      <w:pPr>
        <w:pStyle w:val="ListParagraph"/>
        <w:spacing w:after="0" w:line="240" w:lineRule="auto"/>
        <w:ind w:left="0" w:firstLine="720"/>
        <w:jc w:val="both"/>
        <w:rPr>
          <w:rFonts w:ascii="Times New Roman" w:hAnsi="Times New Roman" w:cs="Times New Roman"/>
          <w:sz w:val="28"/>
          <w:szCs w:val="28"/>
        </w:rPr>
      </w:pPr>
    </w:p>
    <w:tbl>
      <w:tblPr>
        <w:tblStyle w:val="TableGrid"/>
        <w:tblW w:w="0" w:type="auto"/>
        <w:tblInd w:w="1440" w:type="dxa"/>
        <w:tblLook w:val="04A0" w:firstRow="1" w:lastRow="0" w:firstColumn="1" w:lastColumn="0" w:noHBand="0" w:noVBand="1"/>
      </w:tblPr>
      <w:tblGrid>
        <w:gridCol w:w="901"/>
        <w:gridCol w:w="540"/>
        <w:gridCol w:w="885"/>
        <w:gridCol w:w="5629"/>
      </w:tblGrid>
      <w:tr w:rsidR="00715832" w:rsidTr="000F5665">
        <w:tc>
          <w:tcPr>
            <w:tcW w:w="776" w:type="dxa"/>
          </w:tcPr>
          <w:p w:rsidR="00715832" w:rsidRDefault="00A73A3A" w:rsidP="00194E10">
            <w:pPr>
              <w:pStyle w:val="ListParagraph"/>
              <w:ind w:left="0"/>
              <w:rPr>
                <w:rFonts w:ascii="Times New Roman" w:hAnsi="Times New Roman" w:cs="Times New Roman"/>
                <w:sz w:val="28"/>
                <w:szCs w:val="28"/>
              </w:rPr>
            </w:pPr>
            <w:r>
              <w:rPr>
                <w:rFonts w:ascii="Times New Roman" w:hAnsi="Times New Roman" w:cs="Times New Roman"/>
                <w:sz w:val="28"/>
                <w:szCs w:val="28"/>
              </w:rPr>
              <w:lastRenderedPageBreak/>
              <w:t>„</w:t>
            </w:r>
            <w:r w:rsidR="000F5665">
              <w:rPr>
                <w:rFonts w:ascii="Times New Roman" w:hAnsi="Times New Roman" w:cs="Times New Roman"/>
                <w:sz w:val="28"/>
                <w:szCs w:val="28"/>
              </w:rPr>
              <w:t>12</w:t>
            </w:r>
            <w:r w:rsidR="00715832">
              <w:rPr>
                <w:rFonts w:ascii="Times New Roman" w:hAnsi="Times New Roman" w:cs="Times New Roman"/>
                <w:sz w:val="28"/>
                <w:szCs w:val="28"/>
              </w:rPr>
              <w:t>.4.</w:t>
            </w:r>
          </w:p>
        </w:tc>
        <w:tc>
          <w:tcPr>
            <w:tcW w:w="560" w:type="dxa"/>
          </w:tcPr>
          <w:p w:rsidR="00715832" w:rsidRDefault="00715832" w:rsidP="00194E10">
            <w:pPr>
              <w:pStyle w:val="ListParagraph"/>
              <w:ind w:left="0"/>
              <w:rPr>
                <w:rFonts w:ascii="Times New Roman" w:hAnsi="Times New Roman" w:cs="Times New Roman"/>
                <w:sz w:val="28"/>
                <w:szCs w:val="28"/>
              </w:rPr>
            </w:pPr>
          </w:p>
        </w:tc>
        <w:tc>
          <w:tcPr>
            <w:tcW w:w="745" w:type="dxa"/>
          </w:tcPr>
          <w:p w:rsidR="00715832" w:rsidRDefault="000F5665" w:rsidP="00194E10">
            <w:pPr>
              <w:pStyle w:val="ListParagraph"/>
              <w:ind w:left="0"/>
              <w:rPr>
                <w:rFonts w:ascii="Times New Roman" w:hAnsi="Times New Roman" w:cs="Times New Roman"/>
                <w:sz w:val="28"/>
                <w:szCs w:val="28"/>
              </w:rPr>
            </w:pPr>
            <w:r>
              <w:rPr>
                <w:rFonts w:ascii="Times New Roman" w:hAnsi="Times New Roman" w:cs="Times New Roman"/>
                <w:sz w:val="28"/>
                <w:szCs w:val="28"/>
              </w:rPr>
              <w:t>R12</w:t>
            </w:r>
            <w:r w:rsidR="00715832">
              <w:rPr>
                <w:rFonts w:ascii="Times New Roman" w:hAnsi="Times New Roman" w:cs="Times New Roman"/>
                <w:sz w:val="28"/>
                <w:szCs w:val="28"/>
              </w:rPr>
              <w:t>D</w:t>
            </w:r>
          </w:p>
        </w:tc>
        <w:tc>
          <w:tcPr>
            <w:tcW w:w="5874" w:type="dxa"/>
          </w:tcPr>
          <w:p w:rsidR="00715832" w:rsidRDefault="00F52F9F" w:rsidP="00194E10">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Slēgtās vai rekultivētās atkritumu </w:t>
            </w:r>
            <w:r w:rsidR="00356A83">
              <w:rPr>
                <w:rFonts w:ascii="Times New Roman" w:hAnsi="Times New Roman" w:cs="Times New Roman"/>
                <w:sz w:val="28"/>
                <w:szCs w:val="28"/>
              </w:rPr>
              <w:t>i</w:t>
            </w:r>
            <w:r w:rsidR="000F5665">
              <w:rPr>
                <w:rFonts w:ascii="Times New Roman" w:hAnsi="Times New Roman" w:cs="Times New Roman"/>
                <w:sz w:val="28"/>
                <w:szCs w:val="28"/>
              </w:rPr>
              <w:t>zgāztuvēs apglabāto atkritumu pāršķirošana</w:t>
            </w:r>
            <w:r w:rsidR="00A73A3A">
              <w:rPr>
                <w:rFonts w:ascii="Times New Roman" w:hAnsi="Times New Roman" w:cs="Times New Roman"/>
                <w:sz w:val="28"/>
                <w:szCs w:val="28"/>
              </w:rPr>
              <w:t>”</w:t>
            </w:r>
          </w:p>
        </w:tc>
      </w:tr>
    </w:tbl>
    <w:p w:rsidR="00B46871" w:rsidRPr="000A1616" w:rsidRDefault="00B46871" w:rsidP="00194E10">
      <w:pPr>
        <w:spacing w:after="0" w:line="240" w:lineRule="auto"/>
        <w:ind w:firstLine="720"/>
        <w:rPr>
          <w:rFonts w:ascii="Times New Roman" w:hAnsi="Times New Roman" w:cs="Times New Roman"/>
          <w:sz w:val="28"/>
          <w:szCs w:val="28"/>
        </w:rPr>
      </w:pPr>
    </w:p>
    <w:p w:rsidR="00946DA8" w:rsidRDefault="00282A9C" w:rsidP="00194E10">
      <w:pPr>
        <w:pStyle w:val="NormalWeb"/>
        <w:shd w:val="clear" w:color="auto" w:fill="FFFFFF"/>
        <w:spacing w:before="0" w:beforeAutospacing="0" w:after="0" w:afterAutospacing="0"/>
        <w:ind w:firstLine="720"/>
        <w:rPr>
          <w:sz w:val="28"/>
          <w:szCs w:val="28"/>
          <w:lang w:val="lv-LV"/>
        </w:rPr>
      </w:pPr>
      <w:r>
        <w:rPr>
          <w:sz w:val="28"/>
          <w:szCs w:val="28"/>
          <w:lang w:val="lv-LV"/>
        </w:rPr>
        <w:t xml:space="preserve">4. </w:t>
      </w:r>
      <w:r w:rsidR="00DE33BF">
        <w:rPr>
          <w:sz w:val="28"/>
          <w:szCs w:val="28"/>
          <w:lang w:val="lv-LV"/>
        </w:rPr>
        <w:t>Izteikt 3</w:t>
      </w:r>
      <w:r w:rsidR="00463B6F">
        <w:rPr>
          <w:sz w:val="28"/>
          <w:szCs w:val="28"/>
          <w:lang w:val="lv-LV"/>
        </w:rPr>
        <w:t>.pielikumu šādā redakcijā:</w:t>
      </w:r>
    </w:p>
    <w:p w:rsidR="00DE33BF" w:rsidRPr="00B033C3" w:rsidRDefault="00A73A3A" w:rsidP="00194E10">
      <w:pPr>
        <w:pStyle w:val="ListParagraph"/>
        <w:spacing w:after="0" w:line="240" w:lineRule="auto"/>
        <w:ind w:left="0" w:firstLine="720"/>
        <w:jc w:val="right"/>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w:t>
      </w:r>
      <w:r w:rsidR="00DE33BF" w:rsidRPr="00B033C3">
        <w:rPr>
          <w:rFonts w:ascii="Times New Roman" w:eastAsia="Times New Roman" w:hAnsi="Times New Roman" w:cs="Times New Roman"/>
          <w:sz w:val="28"/>
          <w:szCs w:val="28"/>
          <w:lang w:eastAsia="lv-LV"/>
        </w:rPr>
        <w:t xml:space="preserve">3.pielikums </w:t>
      </w:r>
      <w:r w:rsidR="00DE33BF" w:rsidRPr="00B033C3">
        <w:rPr>
          <w:rFonts w:ascii="Times New Roman" w:eastAsia="Times New Roman" w:hAnsi="Times New Roman" w:cs="Times New Roman"/>
          <w:sz w:val="28"/>
          <w:szCs w:val="28"/>
          <w:lang w:eastAsia="lv-LV"/>
        </w:rPr>
        <w:br/>
        <w:t xml:space="preserve">Ministru kabineta </w:t>
      </w:r>
      <w:r w:rsidR="00DE33BF" w:rsidRPr="00B033C3">
        <w:rPr>
          <w:rFonts w:ascii="Times New Roman" w:eastAsia="Times New Roman" w:hAnsi="Times New Roman" w:cs="Times New Roman"/>
          <w:sz w:val="28"/>
          <w:szCs w:val="28"/>
          <w:lang w:eastAsia="lv-LV"/>
        </w:rPr>
        <w:br/>
        <w:t>2011.gada 26.aprīļa noteikumiem Nr.319</w:t>
      </w:r>
    </w:p>
    <w:p w:rsidR="00DE33BF" w:rsidRPr="00B033C3" w:rsidRDefault="00DE33BF" w:rsidP="00194E10">
      <w:pPr>
        <w:pStyle w:val="ListParagraph"/>
        <w:spacing w:after="0" w:line="240" w:lineRule="auto"/>
        <w:ind w:left="0" w:firstLine="720"/>
        <w:rPr>
          <w:rFonts w:ascii="Times New Roman" w:eastAsia="Times New Roman" w:hAnsi="Times New Roman" w:cs="Times New Roman"/>
          <w:sz w:val="28"/>
          <w:szCs w:val="28"/>
          <w:lang w:eastAsia="lv-LV"/>
        </w:rPr>
      </w:pPr>
      <w:bookmarkStart w:id="0" w:name="391223"/>
      <w:bookmarkEnd w:id="0"/>
    </w:p>
    <w:p w:rsidR="00DE33BF" w:rsidRPr="00B033C3" w:rsidRDefault="00DE33BF" w:rsidP="00194E10">
      <w:pPr>
        <w:pStyle w:val="ListParagraph"/>
        <w:spacing w:after="0" w:line="240" w:lineRule="auto"/>
        <w:ind w:left="0" w:firstLine="720"/>
        <w:jc w:val="center"/>
        <w:rPr>
          <w:rFonts w:ascii="Times New Roman" w:eastAsia="Times New Roman" w:hAnsi="Times New Roman" w:cs="Times New Roman"/>
          <w:b/>
          <w:sz w:val="28"/>
          <w:szCs w:val="28"/>
          <w:lang w:eastAsia="lv-LV"/>
        </w:rPr>
      </w:pPr>
      <w:r w:rsidRPr="00B033C3">
        <w:rPr>
          <w:rFonts w:ascii="Times New Roman" w:eastAsia="Times New Roman" w:hAnsi="Times New Roman" w:cs="Times New Roman"/>
          <w:b/>
          <w:sz w:val="28"/>
          <w:szCs w:val="28"/>
          <w:lang w:eastAsia="lv-LV"/>
        </w:rPr>
        <w:t>Atkritumu sadedzināšanas iekārtu energoefektivitātes aprēķināšana</w:t>
      </w:r>
    </w:p>
    <w:p w:rsidR="00DE33BF" w:rsidRPr="00B033C3" w:rsidRDefault="00DE33BF" w:rsidP="00194E10">
      <w:pPr>
        <w:pStyle w:val="ListParagraph"/>
        <w:spacing w:after="0" w:line="240" w:lineRule="auto"/>
        <w:ind w:left="0" w:firstLine="720"/>
        <w:jc w:val="center"/>
        <w:rPr>
          <w:rFonts w:ascii="Times New Roman" w:eastAsia="Times New Roman" w:hAnsi="Times New Roman" w:cs="Times New Roman"/>
          <w:b/>
          <w:sz w:val="28"/>
          <w:szCs w:val="28"/>
          <w:lang w:eastAsia="lv-LV"/>
        </w:rPr>
      </w:pPr>
    </w:p>
    <w:p w:rsidR="00DE33BF" w:rsidRPr="00350ACE" w:rsidRDefault="00350ACE" w:rsidP="00194E10">
      <w:pPr>
        <w:spacing w:after="0" w:line="240" w:lineRule="auto"/>
        <w:ind w:firstLine="720"/>
        <w:jc w:val="both"/>
        <w:rPr>
          <w:rFonts w:ascii="Times New Roman" w:eastAsia="Times New Roman" w:hAnsi="Times New Roman" w:cs="Times New Roman"/>
          <w:sz w:val="28"/>
          <w:szCs w:val="28"/>
          <w:lang w:eastAsia="lv-LV"/>
        </w:rPr>
      </w:pPr>
      <w:bookmarkStart w:id="1" w:name="p2"/>
      <w:bookmarkStart w:id="2" w:name="p-391226"/>
      <w:bookmarkEnd w:id="1"/>
      <w:bookmarkEnd w:id="2"/>
      <w:r>
        <w:rPr>
          <w:rFonts w:ascii="Times New Roman" w:eastAsia="Times New Roman" w:hAnsi="Times New Roman" w:cs="Times New Roman"/>
          <w:sz w:val="28"/>
          <w:szCs w:val="28"/>
          <w:lang w:eastAsia="lv-LV"/>
        </w:rPr>
        <w:t xml:space="preserve">1. </w:t>
      </w:r>
      <w:r w:rsidR="00DE33BF" w:rsidRPr="00350ACE">
        <w:rPr>
          <w:rFonts w:ascii="Times New Roman" w:eastAsia="Times New Roman" w:hAnsi="Times New Roman" w:cs="Times New Roman"/>
          <w:sz w:val="28"/>
          <w:szCs w:val="28"/>
          <w:lang w:eastAsia="lv-LV"/>
        </w:rPr>
        <w:t>Šo noteikumu 2.punktā minēto atkritumu sadedzināšanas iekārtu energoefektivitāti aprēķina saskaņā ar labākajiem pieejamiem tehniskajiem paņēmieniem atkritumu sadedzināšanā, izmantojot šādu formulu:</w:t>
      </w:r>
    </w:p>
    <w:p w:rsidR="00DE33BF" w:rsidRPr="00B033C3" w:rsidRDefault="00DE33BF" w:rsidP="00194E10">
      <w:pPr>
        <w:pStyle w:val="ListParagraph"/>
        <w:spacing w:after="0" w:line="240" w:lineRule="auto"/>
        <w:ind w:left="0" w:firstLine="720"/>
        <w:jc w:val="center"/>
        <w:rPr>
          <w:rFonts w:ascii="Times New Roman" w:eastAsia="Times New Roman" w:hAnsi="Times New Roman" w:cs="Times New Roman"/>
          <w:sz w:val="28"/>
          <w:szCs w:val="28"/>
          <w:lang w:eastAsia="lv-LV"/>
        </w:rPr>
      </w:pPr>
      <w:r w:rsidRPr="00B033C3">
        <w:rPr>
          <w:rFonts w:ascii="Times New Roman" w:eastAsia="Times New Roman" w:hAnsi="Times New Roman" w:cs="Times New Roman"/>
          <w:sz w:val="28"/>
          <w:szCs w:val="28"/>
          <w:lang w:eastAsia="lv-LV"/>
        </w:rPr>
        <w:t>Energoefektivitāte = (</w:t>
      </w:r>
      <w:proofErr w:type="spellStart"/>
      <w:r w:rsidRPr="00B033C3">
        <w:rPr>
          <w:rFonts w:ascii="Times New Roman" w:eastAsia="Times New Roman" w:hAnsi="Times New Roman" w:cs="Times New Roman"/>
          <w:sz w:val="28"/>
          <w:szCs w:val="28"/>
          <w:lang w:eastAsia="lv-LV"/>
        </w:rPr>
        <w:t>Ep</w:t>
      </w:r>
      <w:proofErr w:type="spellEnd"/>
      <w:r w:rsidRPr="00B033C3">
        <w:rPr>
          <w:rFonts w:ascii="Times New Roman" w:eastAsia="Times New Roman" w:hAnsi="Times New Roman" w:cs="Times New Roman"/>
          <w:sz w:val="28"/>
          <w:szCs w:val="28"/>
          <w:lang w:eastAsia="lv-LV"/>
        </w:rPr>
        <w:t xml:space="preserve"> – (</w:t>
      </w:r>
      <w:proofErr w:type="spellStart"/>
      <w:r w:rsidRPr="00B033C3">
        <w:rPr>
          <w:rFonts w:ascii="Times New Roman" w:eastAsia="Times New Roman" w:hAnsi="Times New Roman" w:cs="Times New Roman"/>
          <w:sz w:val="28"/>
          <w:szCs w:val="28"/>
          <w:lang w:eastAsia="lv-LV"/>
        </w:rPr>
        <w:t>Ef</w:t>
      </w:r>
      <w:proofErr w:type="spellEnd"/>
      <w:r w:rsidRPr="00B033C3">
        <w:rPr>
          <w:rFonts w:ascii="Times New Roman" w:eastAsia="Times New Roman" w:hAnsi="Times New Roman" w:cs="Times New Roman"/>
          <w:sz w:val="28"/>
          <w:szCs w:val="28"/>
          <w:lang w:eastAsia="lv-LV"/>
        </w:rPr>
        <w:t xml:space="preserve"> + Ei))/(0,97 × (</w:t>
      </w:r>
      <w:proofErr w:type="spellStart"/>
      <w:r w:rsidRPr="00B033C3">
        <w:rPr>
          <w:rFonts w:ascii="Times New Roman" w:eastAsia="Times New Roman" w:hAnsi="Times New Roman" w:cs="Times New Roman"/>
          <w:sz w:val="28"/>
          <w:szCs w:val="28"/>
          <w:lang w:eastAsia="lv-LV"/>
        </w:rPr>
        <w:t>Ew</w:t>
      </w:r>
      <w:proofErr w:type="spellEnd"/>
      <w:r w:rsidRPr="00B033C3">
        <w:rPr>
          <w:rFonts w:ascii="Times New Roman" w:eastAsia="Times New Roman" w:hAnsi="Times New Roman" w:cs="Times New Roman"/>
          <w:sz w:val="28"/>
          <w:szCs w:val="28"/>
          <w:lang w:eastAsia="lv-LV"/>
        </w:rPr>
        <w:t xml:space="preserve"> + </w:t>
      </w:r>
      <w:proofErr w:type="spellStart"/>
      <w:r w:rsidRPr="00B033C3">
        <w:rPr>
          <w:rFonts w:ascii="Times New Roman" w:eastAsia="Times New Roman" w:hAnsi="Times New Roman" w:cs="Times New Roman"/>
          <w:sz w:val="28"/>
          <w:szCs w:val="28"/>
          <w:lang w:eastAsia="lv-LV"/>
        </w:rPr>
        <w:t>Ef</w:t>
      </w:r>
      <w:proofErr w:type="spellEnd"/>
      <w:r w:rsidRPr="00B033C3">
        <w:rPr>
          <w:rFonts w:ascii="Times New Roman" w:eastAsia="Times New Roman" w:hAnsi="Times New Roman" w:cs="Times New Roman"/>
          <w:sz w:val="28"/>
          <w:szCs w:val="28"/>
          <w:lang w:eastAsia="lv-LV"/>
        </w:rPr>
        <w:t>)), kur:</w:t>
      </w:r>
    </w:p>
    <w:p w:rsidR="00DE33BF" w:rsidRPr="00B033C3" w:rsidRDefault="00DE33BF" w:rsidP="00194E10">
      <w:pPr>
        <w:pStyle w:val="ListParagraph"/>
        <w:spacing w:after="0" w:line="240" w:lineRule="auto"/>
        <w:ind w:left="0" w:firstLine="720"/>
        <w:jc w:val="both"/>
        <w:rPr>
          <w:rFonts w:ascii="Times New Roman" w:eastAsia="Times New Roman" w:hAnsi="Times New Roman" w:cs="Times New Roman"/>
          <w:sz w:val="28"/>
          <w:szCs w:val="28"/>
          <w:lang w:eastAsia="lv-LV"/>
        </w:rPr>
      </w:pPr>
      <w:proofErr w:type="spellStart"/>
      <w:r w:rsidRPr="00B033C3">
        <w:rPr>
          <w:rFonts w:ascii="Times New Roman" w:eastAsia="Times New Roman" w:hAnsi="Times New Roman" w:cs="Times New Roman"/>
          <w:sz w:val="28"/>
          <w:szCs w:val="28"/>
          <w:lang w:eastAsia="lv-LV"/>
        </w:rPr>
        <w:t>Ep</w:t>
      </w:r>
      <w:proofErr w:type="spellEnd"/>
      <w:r w:rsidRPr="00B033C3">
        <w:rPr>
          <w:rFonts w:ascii="Times New Roman" w:eastAsia="Times New Roman" w:hAnsi="Times New Roman" w:cs="Times New Roman"/>
          <w:sz w:val="28"/>
          <w:szCs w:val="28"/>
          <w:lang w:eastAsia="lv-LV"/>
        </w:rPr>
        <w:t xml:space="preserve"> – gada laikā saražotā siltumenerģija vai elektroenerģija, kuru aprēķina, enerģijas daudzumu, kas izteikts kā elektroenerģija, reizinot ar koeficientu 2,6, un komerciālos nolūkos saražoto siltumenerģijas daudzumu reizinot ar koeficientu 1,1 (GJ/gadā);</w:t>
      </w:r>
    </w:p>
    <w:p w:rsidR="00DE33BF" w:rsidRPr="00B033C3" w:rsidRDefault="00DE33BF" w:rsidP="00194E10">
      <w:pPr>
        <w:pStyle w:val="ListParagraph"/>
        <w:spacing w:after="0" w:line="240" w:lineRule="auto"/>
        <w:ind w:left="0" w:firstLine="720"/>
        <w:jc w:val="both"/>
        <w:rPr>
          <w:rFonts w:ascii="Times New Roman" w:eastAsia="Times New Roman" w:hAnsi="Times New Roman" w:cs="Times New Roman"/>
          <w:sz w:val="28"/>
          <w:szCs w:val="28"/>
          <w:lang w:eastAsia="lv-LV"/>
        </w:rPr>
      </w:pPr>
      <w:proofErr w:type="spellStart"/>
      <w:r w:rsidRPr="00B033C3">
        <w:rPr>
          <w:rFonts w:ascii="Times New Roman" w:eastAsia="Times New Roman" w:hAnsi="Times New Roman" w:cs="Times New Roman"/>
          <w:sz w:val="28"/>
          <w:szCs w:val="28"/>
          <w:lang w:eastAsia="lv-LV"/>
        </w:rPr>
        <w:t>Ef</w:t>
      </w:r>
      <w:proofErr w:type="spellEnd"/>
      <w:r w:rsidRPr="00B033C3">
        <w:rPr>
          <w:rFonts w:ascii="Times New Roman" w:eastAsia="Times New Roman" w:hAnsi="Times New Roman" w:cs="Times New Roman"/>
          <w:sz w:val="28"/>
          <w:szCs w:val="28"/>
          <w:lang w:eastAsia="lv-LV"/>
        </w:rPr>
        <w:t xml:space="preserve"> – gada laikā iekārtā ar kurināmo ievadītais enerģijas daudzums tvaika ražošanai (GJ/gadā);</w:t>
      </w:r>
    </w:p>
    <w:p w:rsidR="00DE33BF" w:rsidRPr="00B033C3" w:rsidRDefault="00DE33BF" w:rsidP="00194E10">
      <w:pPr>
        <w:pStyle w:val="ListParagraph"/>
        <w:spacing w:after="0" w:line="240" w:lineRule="auto"/>
        <w:ind w:left="0" w:firstLine="720"/>
        <w:jc w:val="both"/>
        <w:rPr>
          <w:rFonts w:ascii="Times New Roman" w:eastAsia="Times New Roman" w:hAnsi="Times New Roman" w:cs="Times New Roman"/>
          <w:sz w:val="28"/>
          <w:szCs w:val="28"/>
          <w:lang w:eastAsia="lv-LV"/>
        </w:rPr>
      </w:pPr>
      <w:proofErr w:type="spellStart"/>
      <w:r w:rsidRPr="00B033C3">
        <w:rPr>
          <w:rFonts w:ascii="Times New Roman" w:eastAsia="Times New Roman" w:hAnsi="Times New Roman" w:cs="Times New Roman"/>
          <w:sz w:val="28"/>
          <w:szCs w:val="28"/>
          <w:lang w:eastAsia="lv-LV"/>
        </w:rPr>
        <w:t>Ew</w:t>
      </w:r>
      <w:proofErr w:type="spellEnd"/>
      <w:r w:rsidRPr="00B033C3">
        <w:rPr>
          <w:rFonts w:ascii="Times New Roman" w:eastAsia="Times New Roman" w:hAnsi="Times New Roman" w:cs="Times New Roman"/>
          <w:sz w:val="28"/>
          <w:szCs w:val="28"/>
          <w:lang w:eastAsia="lv-LV"/>
        </w:rPr>
        <w:t xml:space="preserve"> – gada laikā sadedzinātajos atkritumos ietvertais enerģijas daudzums, kas aprēķināts, izmantojot atkritumu zemāko siltumspēju (GJ/gadā);</w:t>
      </w:r>
    </w:p>
    <w:p w:rsidR="00DE33BF" w:rsidRPr="00B033C3" w:rsidRDefault="00DE33BF" w:rsidP="00194E10">
      <w:pPr>
        <w:pStyle w:val="ListParagraph"/>
        <w:spacing w:after="0" w:line="240" w:lineRule="auto"/>
        <w:ind w:left="0" w:firstLine="720"/>
        <w:jc w:val="both"/>
        <w:rPr>
          <w:rFonts w:ascii="Times New Roman" w:eastAsia="Times New Roman" w:hAnsi="Times New Roman" w:cs="Times New Roman"/>
          <w:sz w:val="28"/>
          <w:szCs w:val="28"/>
          <w:lang w:eastAsia="lv-LV"/>
        </w:rPr>
      </w:pPr>
      <w:r w:rsidRPr="00B033C3">
        <w:rPr>
          <w:rFonts w:ascii="Times New Roman" w:eastAsia="Times New Roman" w:hAnsi="Times New Roman" w:cs="Times New Roman"/>
          <w:sz w:val="28"/>
          <w:szCs w:val="28"/>
          <w:lang w:eastAsia="lv-LV"/>
        </w:rPr>
        <w:t xml:space="preserve">Ei – gada laikā iekārtām pievadītās enerģijas daudzums, izņemot </w:t>
      </w:r>
      <w:proofErr w:type="spellStart"/>
      <w:r w:rsidRPr="00B033C3">
        <w:rPr>
          <w:rFonts w:ascii="Times New Roman" w:eastAsia="Times New Roman" w:hAnsi="Times New Roman" w:cs="Times New Roman"/>
          <w:sz w:val="28"/>
          <w:szCs w:val="28"/>
          <w:lang w:eastAsia="lv-LV"/>
        </w:rPr>
        <w:t>Ew</w:t>
      </w:r>
      <w:proofErr w:type="spellEnd"/>
      <w:r w:rsidRPr="00B033C3">
        <w:rPr>
          <w:rFonts w:ascii="Times New Roman" w:eastAsia="Times New Roman" w:hAnsi="Times New Roman" w:cs="Times New Roman"/>
          <w:sz w:val="28"/>
          <w:szCs w:val="28"/>
          <w:lang w:eastAsia="lv-LV"/>
        </w:rPr>
        <w:t xml:space="preserve"> un </w:t>
      </w:r>
      <w:proofErr w:type="spellStart"/>
      <w:r w:rsidRPr="00B033C3">
        <w:rPr>
          <w:rFonts w:ascii="Times New Roman" w:eastAsia="Times New Roman" w:hAnsi="Times New Roman" w:cs="Times New Roman"/>
          <w:sz w:val="28"/>
          <w:szCs w:val="28"/>
          <w:lang w:eastAsia="lv-LV"/>
        </w:rPr>
        <w:t>Ef</w:t>
      </w:r>
      <w:proofErr w:type="spellEnd"/>
      <w:r w:rsidRPr="00B033C3">
        <w:rPr>
          <w:rFonts w:ascii="Times New Roman" w:eastAsia="Times New Roman" w:hAnsi="Times New Roman" w:cs="Times New Roman"/>
          <w:sz w:val="28"/>
          <w:szCs w:val="28"/>
          <w:lang w:eastAsia="lv-LV"/>
        </w:rPr>
        <w:t xml:space="preserve"> (GJ/gadā);</w:t>
      </w:r>
    </w:p>
    <w:p w:rsidR="00DE33BF" w:rsidRDefault="00DE33BF" w:rsidP="00194E10">
      <w:pPr>
        <w:pStyle w:val="ListParagraph"/>
        <w:spacing w:after="0" w:line="240" w:lineRule="auto"/>
        <w:ind w:left="0" w:firstLine="720"/>
        <w:jc w:val="both"/>
        <w:rPr>
          <w:rFonts w:ascii="Times New Roman" w:eastAsia="Times New Roman" w:hAnsi="Times New Roman" w:cs="Times New Roman"/>
          <w:sz w:val="28"/>
          <w:szCs w:val="28"/>
          <w:lang w:eastAsia="lv-LV"/>
        </w:rPr>
      </w:pPr>
      <w:r w:rsidRPr="00B033C3">
        <w:rPr>
          <w:rFonts w:ascii="Times New Roman" w:eastAsia="Times New Roman" w:hAnsi="Times New Roman" w:cs="Times New Roman"/>
          <w:sz w:val="28"/>
          <w:szCs w:val="28"/>
          <w:lang w:eastAsia="lv-LV"/>
        </w:rPr>
        <w:t>0,97 – koeficients, kas raksturo enerģijas zudumus no izdedžu rašanās un siltuma emisijas.</w:t>
      </w:r>
    </w:p>
    <w:p w:rsidR="00614B3D" w:rsidRPr="00B033C3" w:rsidRDefault="00614B3D" w:rsidP="00194E10">
      <w:pPr>
        <w:pStyle w:val="ListParagraph"/>
        <w:spacing w:after="0" w:line="240" w:lineRule="auto"/>
        <w:ind w:left="0" w:firstLine="720"/>
        <w:jc w:val="both"/>
        <w:rPr>
          <w:rFonts w:ascii="Times New Roman" w:eastAsia="Times New Roman" w:hAnsi="Times New Roman" w:cs="Times New Roman"/>
          <w:sz w:val="28"/>
          <w:szCs w:val="28"/>
          <w:lang w:eastAsia="lv-LV"/>
        </w:rPr>
      </w:pPr>
    </w:p>
    <w:p w:rsidR="00A135AF" w:rsidRPr="00A135AF" w:rsidRDefault="00350ACE"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2. </w:t>
      </w:r>
      <w:r w:rsidR="00DE33BF">
        <w:rPr>
          <w:sz w:val="28"/>
          <w:szCs w:val="28"/>
          <w:lang w:val="lv-LV"/>
        </w:rPr>
        <w:t>Šī pielikuma 1.punktā veikto aprēķinu rezultātā iegūtā energoefektivitāti reizina ar klimata korekcijas faktoru (turpmāk – CCF), kuru nosaka saskaņā ar šā pielikuma</w:t>
      </w:r>
      <w:r w:rsidR="00A135AF">
        <w:rPr>
          <w:sz w:val="28"/>
          <w:szCs w:val="28"/>
          <w:lang w:val="lv-LV"/>
        </w:rPr>
        <w:t xml:space="preserve"> 3</w:t>
      </w:r>
      <w:r w:rsidR="00DE33BF">
        <w:rPr>
          <w:sz w:val="28"/>
          <w:szCs w:val="28"/>
          <w:lang w:val="lv-LV"/>
        </w:rPr>
        <w:t>.</w:t>
      </w:r>
      <w:r w:rsidR="00A135AF">
        <w:rPr>
          <w:sz w:val="28"/>
          <w:szCs w:val="28"/>
          <w:lang w:val="lv-LV"/>
        </w:rPr>
        <w:t xml:space="preserve"> vai 4</w:t>
      </w:r>
      <w:r w:rsidR="006D6DBA">
        <w:rPr>
          <w:sz w:val="28"/>
          <w:szCs w:val="28"/>
          <w:lang w:val="lv-LV"/>
        </w:rPr>
        <w:t>.</w:t>
      </w:r>
      <w:r w:rsidR="00DE33BF">
        <w:rPr>
          <w:sz w:val="28"/>
          <w:szCs w:val="28"/>
          <w:lang w:val="lv-LV"/>
        </w:rPr>
        <w:t>punktu.</w:t>
      </w:r>
    </w:p>
    <w:p w:rsidR="00A135AF" w:rsidRPr="00BF2DAF" w:rsidRDefault="00A135AF" w:rsidP="00194E10">
      <w:pPr>
        <w:pStyle w:val="NormalWeb"/>
        <w:shd w:val="clear" w:color="auto" w:fill="FFFFFF"/>
        <w:spacing w:before="0" w:beforeAutospacing="0" w:after="0" w:afterAutospacing="0"/>
        <w:ind w:firstLine="720"/>
        <w:jc w:val="both"/>
        <w:rPr>
          <w:sz w:val="28"/>
          <w:szCs w:val="28"/>
          <w:lang w:val="lv-LV"/>
        </w:rPr>
      </w:pPr>
    </w:p>
    <w:p w:rsidR="00DE33BF" w:rsidRDefault="00350ACE"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3. </w:t>
      </w:r>
      <w:r w:rsidR="00DE33BF">
        <w:rPr>
          <w:sz w:val="28"/>
          <w:szCs w:val="28"/>
          <w:lang w:val="lv-LV"/>
        </w:rPr>
        <w:t>Atkritumu sadedzināšanas iekārtām, k</w:t>
      </w:r>
      <w:r w:rsidR="0003548A">
        <w:rPr>
          <w:sz w:val="28"/>
          <w:szCs w:val="28"/>
          <w:lang w:val="lv-LV"/>
        </w:rPr>
        <w:t>as</w:t>
      </w:r>
      <w:r w:rsidR="00DE33BF">
        <w:rPr>
          <w:sz w:val="28"/>
          <w:szCs w:val="28"/>
          <w:lang w:val="lv-LV"/>
        </w:rPr>
        <w:t xml:space="preserve"> darbojās pirms </w:t>
      </w:r>
      <w:proofErr w:type="gramStart"/>
      <w:r w:rsidR="00DE33BF">
        <w:rPr>
          <w:sz w:val="28"/>
          <w:szCs w:val="28"/>
          <w:lang w:val="lv-LV"/>
        </w:rPr>
        <w:t>2015.gada</w:t>
      </w:r>
      <w:proofErr w:type="gramEnd"/>
      <w:r w:rsidR="00DE33BF">
        <w:rPr>
          <w:sz w:val="28"/>
          <w:szCs w:val="28"/>
          <w:lang w:val="lv-LV"/>
        </w:rPr>
        <w:t xml:space="preserve"> 1.septembra un kurām pirms 2015.gada 1.septembra ir izsniegta atļauja A vai B kategorijas piesārņojošas darbības veikšanai atbilstoši normatīvajiem aktiem par </w:t>
      </w:r>
      <w:r w:rsidR="006D6DBA" w:rsidRPr="00B033C3">
        <w:rPr>
          <w:sz w:val="28"/>
          <w:szCs w:val="28"/>
          <w:lang w:val="lv-LV"/>
        </w:rPr>
        <w:t>kārtību, kādā piesakāmas A, B un C kategorijas piesārņojošas darbības un izsniedzamas atļaujas A un B kategorijas piesārņojošo darbību veikšanai</w:t>
      </w:r>
      <w:r w:rsidR="006D6DBA">
        <w:rPr>
          <w:sz w:val="28"/>
          <w:szCs w:val="28"/>
          <w:lang w:val="lv-LV"/>
        </w:rPr>
        <w:t>, CCF nosaka šādi:</w:t>
      </w:r>
    </w:p>
    <w:p w:rsidR="00CC6BF9" w:rsidRDefault="00CC6BF9" w:rsidP="00194E10">
      <w:pPr>
        <w:pStyle w:val="NormalWeb"/>
        <w:shd w:val="clear" w:color="auto" w:fill="FFFFFF"/>
        <w:spacing w:before="0" w:beforeAutospacing="0" w:after="0" w:afterAutospacing="0"/>
        <w:ind w:firstLine="720"/>
        <w:jc w:val="both"/>
        <w:rPr>
          <w:sz w:val="28"/>
          <w:szCs w:val="28"/>
          <w:lang w:val="lv-LV"/>
        </w:rPr>
      </w:pPr>
    </w:p>
    <w:p w:rsidR="006D6DBA" w:rsidRDefault="001411B4"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3.1. </w:t>
      </w:r>
      <w:r w:rsidR="006D6DBA">
        <w:rPr>
          <w:sz w:val="28"/>
          <w:szCs w:val="28"/>
          <w:lang w:val="lv-LV"/>
        </w:rPr>
        <w:t>CCF =1, ja HDD ≥ 3350</w:t>
      </w:r>
      <w:r w:rsidR="00E654E0">
        <w:rPr>
          <w:sz w:val="28"/>
          <w:szCs w:val="28"/>
          <w:lang w:val="lv-LV"/>
        </w:rPr>
        <w:t>;</w:t>
      </w:r>
    </w:p>
    <w:p w:rsidR="006D6DBA" w:rsidRDefault="001411B4"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3.2. </w:t>
      </w:r>
      <w:r w:rsidR="006D6DBA">
        <w:rPr>
          <w:sz w:val="28"/>
          <w:szCs w:val="28"/>
          <w:lang w:val="lv-LV"/>
        </w:rPr>
        <w:t>CCF= 1,25, ja HDD ≥ 2150</w:t>
      </w:r>
      <w:r w:rsidR="00E654E0">
        <w:rPr>
          <w:sz w:val="28"/>
          <w:szCs w:val="28"/>
          <w:lang w:val="lv-LV"/>
        </w:rPr>
        <w:t>;</w:t>
      </w:r>
    </w:p>
    <w:p w:rsidR="006D6DBA" w:rsidRDefault="001411B4"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3.3. </w:t>
      </w:r>
      <w:r w:rsidR="006D6DBA">
        <w:rPr>
          <w:sz w:val="28"/>
          <w:szCs w:val="28"/>
          <w:lang w:val="lv-LV"/>
        </w:rPr>
        <w:t xml:space="preserve">CCF= - (0,25/1200) x HDD + 1,698, kad 2150 </w:t>
      </w:r>
      <w:r w:rsidR="006D6DBA">
        <w:rPr>
          <w:sz w:val="28"/>
          <w:szCs w:val="28"/>
          <w:lang w:val="lv-LV"/>
        </w:rPr>
        <w:sym w:font="Symbol" w:char="F03C"/>
      </w:r>
      <w:r w:rsidR="006D6DBA">
        <w:rPr>
          <w:sz w:val="28"/>
          <w:szCs w:val="28"/>
          <w:lang w:val="lv-LV"/>
        </w:rPr>
        <w:t xml:space="preserve"> HDD </w:t>
      </w:r>
      <w:r w:rsidR="006D6DBA">
        <w:rPr>
          <w:sz w:val="28"/>
          <w:szCs w:val="28"/>
          <w:lang w:val="lv-LV"/>
        </w:rPr>
        <w:sym w:font="Symbol" w:char="F03C"/>
      </w:r>
      <w:r w:rsidR="006D6DBA">
        <w:rPr>
          <w:sz w:val="28"/>
          <w:szCs w:val="28"/>
          <w:lang w:val="lv-LV"/>
        </w:rPr>
        <w:t xml:space="preserve"> 3350.</w:t>
      </w:r>
    </w:p>
    <w:p w:rsidR="006D6DBA" w:rsidRDefault="006D6DBA" w:rsidP="00194E10">
      <w:pPr>
        <w:pStyle w:val="NormalWeb"/>
        <w:shd w:val="clear" w:color="auto" w:fill="FFFFFF"/>
        <w:spacing w:before="0" w:beforeAutospacing="0" w:after="0" w:afterAutospacing="0"/>
        <w:ind w:firstLine="720"/>
        <w:jc w:val="both"/>
        <w:rPr>
          <w:sz w:val="28"/>
          <w:szCs w:val="28"/>
          <w:lang w:val="lv-LV"/>
        </w:rPr>
      </w:pPr>
    </w:p>
    <w:p w:rsidR="006D6DBA" w:rsidRDefault="00350ACE"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4. </w:t>
      </w:r>
      <w:r w:rsidR="006D6DBA">
        <w:rPr>
          <w:sz w:val="28"/>
          <w:szCs w:val="28"/>
          <w:lang w:val="lv-LV"/>
        </w:rPr>
        <w:t xml:space="preserve">Atkritumu sadedzināšanas iekārtām, kurām pēc </w:t>
      </w:r>
      <w:proofErr w:type="gramStart"/>
      <w:r w:rsidR="006D6DBA">
        <w:rPr>
          <w:sz w:val="28"/>
          <w:szCs w:val="28"/>
          <w:lang w:val="lv-LV"/>
        </w:rPr>
        <w:t>2015.gada</w:t>
      </w:r>
      <w:proofErr w:type="gramEnd"/>
      <w:r w:rsidR="006D6DBA">
        <w:rPr>
          <w:sz w:val="28"/>
          <w:szCs w:val="28"/>
          <w:lang w:val="lv-LV"/>
        </w:rPr>
        <w:t xml:space="preserve"> 31.augusta ir izsniegta atļauja A vai B kategorijas piesārņojošas darbības veikšanai atbilstoši normatīvajiem aktiem par </w:t>
      </w:r>
      <w:r w:rsidR="006D6DBA" w:rsidRPr="004B39C4">
        <w:rPr>
          <w:sz w:val="28"/>
          <w:szCs w:val="28"/>
          <w:lang w:val="lv-LV"/>
        </w:rPr>
        <w:t>kārtību, kādā piesakāmas A, B un C kategorijas piesārņojošas darbības un izsniedzamas atļaujas A un B kategorijas piesārņojošo darbību veikšanai</w:t>
      </w:r>
      <w:r w:rsidR="006D6DBA">
        <w:rPr>
          <w:sz w:val="28"/>
          <w:szCs w:val="28"/>
          <w:lang w:val="lv-LV"/>
        </w:rPr>
        <w:t>, un šā pielikuma 4.punktā minētajām atkritumu sadedzināšanas iekārtām pēc 2029.gada 31.decembra CCF nosaka šādi:</w:t>
      </w:r>
    </w:p>
    <w:p w:rsidR="00CC6BF9" w:rsidRDefault="00CC6BF9" w:rsidP="00194E10">
      <w:pPr>
        <w:pStyle w:val="NormalWeb"/>
        <w:shd w:val="clear" w:color="auto" w:fill="FFFFFF"/>
        <w:spacing w:before="0" w:beforeAutospacing="0" w:after="0" w:afterAutospacing="0"/>
        <w:ind w:firstLine="720"/>
        <w:jc w:val="both"/>
        <w:rPr>
          <w:sz w:val="28"/>
          <w:szCs w:val="28"/>
          <w:lang w:val="lv-LV"/>
        </w:rPr>
      </w:pPr>
    </w:p>
    <w:p w:rsidR="00A135AF" w:rsidRDefault="001411B4"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4.1. </w:t>
      </w:r>
      <w:r w:rsidR="00A135AF">
        <w:rPr>
          <w:sz w:val="28"/>
          <w:szCs w:val="28"/>
          <w:lang w:val="lv-LV"/>
        </w:rPr>
        <w:t>CCF =1, ja HDD ≥ 3350</w:t>
      </w:r>
      <w:r w:rsidR="00E654E0">
        <w:rPr>
          <w:sz w:val="28"/>
          <w:szCs w:val="28"/>
          <w:lang w:val="lv-LV"/>
        </w:rPr>
        <w:t>;</w:t>
      </w:r>
    </w:p>
    <w:p w:rsidR="006D6DBA" w:rsidRDefault="001411B4"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4.2. </w:t>
      </w:r>
      <w:r w:rsidR="00A135AF">
        <w:rPr>
          <w:sz w:val="28"/>
          <w:szCs w:val="28"/>
          <w:lang w:val="lv-LV"/>
        </w:rPr>
        <w:t>CCF= 1,12, ja HDD ≥ 2150</w:t>
      </w:r>
      <w:r w:rsidR="00E654E0">
        <w:rPr>
          <w:sz w:val="28"/>
          <w:szCs w:val="28"/>
          <w:lang w:val="lv-LV"/>
        </w:rPr>
        <w:t>;</w:t>
      </w:r>
    </w:p>
    <w:p w:rsidR="00A135AF" w:rsidRDefault="001411B4"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4.3. </w:t>
      </w:r>
      <w:r w:rsidR="00A135AF">
        <w:rPr>
          <w:sz w:val="28"/>
          <w:szCs w:val="28"/>
          <w:lang w:val="lv-LV"/>
        </w:rPr>
        <w:t>CCF= - (0,12/1200) x HDD + 1,335</w:t>
      </w:r>
      <w:proofErr w:type="gramStart"/>
      <w:r w:rsidR="00A135AF">
        <w:rPr>
          <w:sz w:val="28"/>
          <w:szCs w:val="28"/>
          <w:lang w:val="lv-LV"/>
        </w:rPr>
        <w:t xml:space="preserve"> , </w:t>
      </w:r>
      <w:proofErr w:type="gramEnd"/>
      <w:r w:rsidR="00A135AF">
        <w:rPr>
          <w:sz w:val="28"/>
          <w:szCs w:val="28"/>
          <w:lang w:val="lv-LV"/>
        </w:rPr>
        <w:t xml:space="preserve">kad 2150 </w:t>
      </w:r>
      <w:r w:rsidR="00A135AF">
        <w:rPr>
          <w:sz w:val="28"/>
          <w:szCs w:val="28"/>
          <w:lang w:val="lv-LV"/>
        </w:rPr>
        <w:sym w:font="Symbol" w:char="F03C"/>
      </w:r>
      <w:r w:rsidR="00A135AF">
        <w:rPr>
          <w:sz w:val="28"/>
          <w:szCs w:val="28"/>
          <w:lang w:val="lv-LV"/>
        </w:rPr>
        <w:t xml:space="preserve"> HDD </w:t>
      </w:r>
      <w:r w:rsidR="00A135AF">
        <w:rPr>
          <w:sz w:val="28"/>
          <w:szCs w:val="28"/>
          <w:lang w:val="lv-LV"/>
        </w:rPr>
        <w:sym w:font="Symbol" w:char="F03C"/>
      </w:r>
      <w:r w:rsidR="00A135AF">
        <w:rPr>
          <w:sz w:val="28"/>
          <w:szCs w:val="28"/>
          <w:lang w:val="lv-LV"/>
        </w:rPr>
        <w:t xml:space="preserve"> 3350.</w:t>
      </w:r>
    </w:p>
    <w:p w:rsidR="00A135AF" w:rsidRDefault="00A135AF" w:rsidP="00194E10">
      <w:pPr>
        <w:pStyle w:val="NormalWeb"/>
        <w:shd w:val="clear" w:color="auto" w:fill="FFFFFF"/>
        <w:spacing w:before="0" w:beforeAutospacing="0" w:after="0" w:afterAutospacing="0"/>
        <w:ind w:firstLine="720"/>
        <w:jc w:val="both"/>
        <w:rPr>
          <w:sz w:val="28"/>
          <w:szCs w:val="28"/>
          <w:lang w:val="lv-LV"/>
        </w:rPr>
      </w:pPr>
    </w:p>
    <w:p w:rsidR="00A135AF" w:rsidRDefault="00381C60"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5. </w:t>
      </w:r>
      <w:r w:rsidR="00A135AF">
        <w:rPr>
          <w:sz w:val="28"/>
          <w:szCs w:val="28"/>
          <w:lang w:val="lv-LV"/>
        </w:rPr>
        <w:t xml:space="preserve">Šā pielikuma 4.un 5.punktā veikto aprēķinu rezultātā iegūto CFF vērtību noapaļo līdz trim zīmēm aiz komata. </w:t>
      </w:r>
    </w:p>
    <w:p w:rsidR="00A135AF" w:rsidRDefault="00A135AF" w:rsidP="00194E10">
      <w:pPr>
        <w:pStyle w:val="NormalWeb"/>
        <w:shd w:val="clear" w:color="auto" w:fill="FFFFFF"/>
        <w:spacing w:before="0" w:beforeAutospacing="0" w:after="0" w:afterAutospacing="0"/>
        <w:ind w:firstLine="720"/>
        <w:jc w:val="both"/>
        <w:rPr>
          <w:sz w:val="28"/>
          <w:szCs w:val="28"/>
          <w:lang w:val="lv-LV"/>
        </w:rPr>
      </w:pPr>
    </w:p>
    <w:p w:rsidR="00A135AF" w:rsidRDefault="00CE5136"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6. </w:t>
      </w:r>
      <w:r w:rsidR="00A135AF">
        <w:rPr>
          <w:sz w:val="28"/>
          <w:szCs w:val="28"/>
          <w:lang w:val="lv-LV"/>
        </w:rPr>
        <w:t>Apkures grādu dienas (turpmāk – HDD) vērtība ir attiecīgās atkritumu sadedzināšanas iekārtu atrašanās vietas HDD vidējā gada vērtība, kuru aprēķina 20 secīgu dienu periodā pirms tā gada, kurām tiek aprēķināts CCF. HDD aprēķināšanai izmanto šādu Eiropas Statistikas biroja (</w:t>
      </w:r>
      <w:r w:rsidR="006A10A2" w:rsidRPr="00096B7D">
        <w:rPr>
          <w:i/>
          <w:sz w:val="28"/>
          <w:szCs w:val="28"/>
          <w:lang w:val="lv-LV"/>
        </w:rPr>
        <w:t>Eurostat</w:t>
      </w:r>
      <w:r w:rsidR="00A135AF">
        <w:rPr>
          <w:sz w:val="28"/>
          <w:szCs w:val="28"/>
          <w:lang w:val="lv-LV"/>
        </w:rPr>
        <w:t>) noteikto metodi:</w:t>
      </w:r>
    </w:p>
    <w:p w:rsidR="00A135AF" w:rsidRDefault="00A135AF" w:rsidP="00194E10">
      <w:pPr>
        <w:pStyle w:val="NormalWeb"/>
        <w:shd w:val="clear" w:color="auto" w:fill="FFFFFF"/>
        <w:spacing w:before="0" w:beforeAutospacing="0" w:after="0" w:afterAutospacing="0"/>
        <w:ind w:firstLine="720"/>
        <w:jc w:val="both"/>
        <w:rPr>
          <w:sz w:val="28"/>
          <w:szCs w:val="28"/>
          <w:lang w:val="lv-LV"/>
        </w:rPr>
      </w:pPr>
      <w:r>
        <w:rPr>
          <w:sz w:val="28"/>
          <w:szCs w:val="28"/>
          <w:lang w:val="lv-LV"/>
        </w:rPr>
        <w:t>HDD=(18</w:t>
      </w:r>
      <w:r w:rsidRPr="004B39C4">
        <w:rPr>
          <w:sz w:val="28"/>
          <w:szCs w:val="28"/>
          <w:vertAlign w:val="superscript"/>
          <w:lang w:val="lv-LV"/>
        </w:rPr>
        <w:t>0</w:t>
      </w:r>
      <w:r>
        <w:rPr>
          <w:sz w:val="28"/>
          <w:szCs w:val="28"/>
          <w:lang w:val="lv-LV"/>
        </w:rPr>
        <w:t xml:space="preserve">C - </w:t>
      </w:r>
      <w:proofErr w:type="spellStart"/>
      <w:r>
        <w:rPr>
          <w:sz w:val="28"/>
          <w:szCs w:val="28"/>
          <w:lang w:val="lv-LV"/>
        </w:rPr>
        <w:t>T</w:t>
      </w:r>
      <w:r w:rsidRPr="004B39C4">
        <w:rPr>
          <w:sz w:val="28"/>
          <w:szCs w:val="28"/>
          <w:vertAlign w:val="subscript"/>
          <w:lang w:val="lv-LV"/>
        </w:rPr>
        <w:t>m</w:t>
      </w:r>
      <w:proofErr w:type="spellEnd"/>
      <w:r>
        <w:rPr>
          <w:sz w:val="28"/>
          <w:szCs w:val="28"/>
          <w:lang w:val="lv-LV"/>
        </w:rPr>
        <w:t xml:space="preserve">) x d, ja </w:t>
      </w:r>
      <w:proofErr w:type="spellStart"/>
      <w:r>
        <w:rPr>
          <w:sz w:val="28"/>
          <w:szCs w:val="28"/>
          <w:lang w:val="lv-LV"/>
        </w:rPr>
        <w:t>T</w:t>
      </w:r>
      <w:r w:rsidRPr="004B39C4">
        <w:rPr>
          <w:sz w:val="28"/>
          <w:szCs w:val="28"/>
          <w:vertAlign w:val="subscript"/>
          <w:lang w:val="lv-LV"/>
        </w:rPr>
        <w:t>m</w:t>
      </w:r>
      <w:proofErr w:type="spellEnd"/>
      <w:r>
        <w:rPr>
          <w:sz w:val="28"/>
          <w:szCs w:val="28"/>
          <w:lang w:val="lv-LV"/>
        </w:rPr>
        <w:t xml:space="preserve"> ir zemāks vai vienāds ar 15</w:t>
      </w:r>
      <w:r w:rsidRPr="004B39C4">
        <w:rPr>
          <w:sz w:val="28"/>
          <w:szCs w:val="28"/>
          <w:vertAlign w:val="superscript"/>
          <w:lang w:val="lv-LV"/>
        </w:rPr>
        <w:t>0</w:t>
      </w:r>
      <w:r>
        <w:rPr>
          <w:sz w:val="28"/>
          <w:szCs w:val="28"/>
          <w:lang w:val="lv-LV"/>
        </w:rPr>
        <w:t xml:space="preserve">C (apkures slieksnis), un ir nulle, ja </w:t>
      </w:r>
      <w:proofErr w:type="spellStart"/>
      <w:r>
        <w:rPr>
          <w:sz w:val="28"/>
          <w:szCs w:val="28"/>
          <w:lang w:val="lv-LV"/>
        </w:rPr>
        <w:t>T</w:t>
      </w:r>
      <w:r w:rsidRPr="004B39C4">
        <w:rPr>
          <w:sz w:val="28"/>
          <w:szCs w:val="28"/>
          <w:vertAlign w:val="subscript"/>
          <w:lang w:val="lv-LV"/>
        </w:rPr>
        <w:t>m</w:t>
      </w:r>
      <w:proofErr w:type="spellEnd"/>
      <w:r>
        <w:rPr>
          <w:sz w:val="28"/>
          <w:szCs w:val="28"/>
          <w:lang w:val="lv-LV"/>
        </w:rPr>
        <w:t xml:space="preserve"> ir lielāka par 15</w:t>
      </w:r>
      <w:r w:rsidRPr="004B39C4">
        <w:rPr>
          <w:sz w:val="28"/>
          <w:szCs w:val="28"/>
          <w:vertAlign w:val="superscript"/>
          <w:lang w:val="lv-LV"/>
        </w:rPr>
        <w:t>0</w:t>
      </w:r>
      <w:r>
        <w:rPr>
          <w:sz w:val="28"/>
          <w:szCs w:val="28"/>
          <w:lang w:val="lv-LV"/>
        </w:rPr>
        <w:t xml:space="preserve">C. </w:t>
      </w:r>
    </w:p>
    <w:p w:rsidR="00A135AF" w:rsidRDefault="00A135AF" w:rsidP="00194E10">
      <w:pPr>
        <w:pStyle w:val="NormalWeb"/>
        <w:shd w:val="clear" w:color="auto" w:fill="FFFFFF"/>
        <w:spacing w:before="0" w:beforeAutospacing="0" w:after="0" w:afterAutospacing="0"/>
        <w:ind w:firstLine="720"/>
        <w:jc w:val="both"/>
        <w:rPr>
          <w:sz w:val="28"/>
          <w:szCs w:val="28"/>
          <w:lang w:val="lv-LV"/>
        </w:rPr>
      </w:pPr>
      <w:proofErr w:type="spellStart"/>
      <w:r>
        <w:rPr>
          <w:sz w:val="28"/>
          <w:szCs w:val="28"/>
          <w:lang w:val="lv-LV"/>
        </w:rPr>
        <w:t>Tm</w:t>
      </w:r>
      <w:proofErr w:type="spellEnd"/>
      <w:r>
        <w:rPr>
          <w:sz w:val="28"/>
          <w:szCs w:val="28"/>
          <w:lang w:val="lv-LV"/>
        </w:rPr>
        <w:t xml:space="preserve"> ir vidējā āra temperatūra d dienu garumā (</w:t>
      </w:r>
      <w:proofErr w:type="spellStart"/>
      <w:r>
        <w:rPr>
          <w:sz w:val="28"/>
          <w:szCs w:val="28"/>
          <w:lang w:val="lv-LV"/>
        </w:rPr>
        <w:t>T</w:t>
      </w:r>
      <w:r w:rsidRPr="004B39C4">
        <w:rPr>
          <w:sz w:val="28"/>
          <w:szCs w:val="28"/>
          <w:vertAlign w:val="subscript"/>
          <w:lang w:val="lv-LV"/>
        </w:rPr>
        <w:t>min</w:t>
      </w:r>
      <w:proofErr w:type="spellEnd"/>
      <w:r>
        <w:rPr>
          <w:sz w:val="28"/>
          <w:szCs w:val="28"/>
          <w:lang w:val="lv-LV"/>
        </w:rPr>
        <w:t xml:space="preserve"> +</w:t>
      </w:r>
      <w:proofErr w:type="spellStart"/>
      <w:r>
        <w:rPr>
          <w:sz w:val="28"/>
          <w:szCs w:val="28"/>
          <w:lang w:val="lv-LV"/>
        </w:rPr>
        <w:t>T</w:t>
      </w:r>
      <w:r w:rsidRPr="004B39C4">
        <w:rPr>
          <w:sz w:val="28"/>
          <w:szCs w:val="28"/>
          <w:vertAlign w:val="subscript"/>
          <w:lang w:val="lv-LV"/>
        </w:rPr>
        <w:t>max</w:t>
      </w:r>
      <w:proofErr w:type="spellEnd"/>
      <w:r>
        <w:rPr>
          <w:sz w:val="28"/>
          <w:szCs w:val="28"/>
          <w:lang w:val="lv-LV"/>
        </w:rPr>
        <w:t>/2). Vidējo āra temperatūru aprēķina katru dienu (d=1) un sasummē par gadu.</w:t>
      </w:r>
      <w:r w:rsidR="0003548A">
        <w:rPr>
          <w:sz w:val="28"/>
          <w:szCs w:val="28"/>
          <w:lang w:val="lv-LV"/>
        </w:rPr>
        <w:t>”</w:t>
      </w:r>
      <w:r>
        <w:rPr>
          <w:sz w:val="28"/>
          <w:szCs w:val="28"/>
          <w:lang w:val="lv-LV"/>
        </w:rPr>
        <w:t xml:space="preserve"> </w:t>
      </w:r>
    </w:p>
    <w:p w:rsidR="00356A83" w:rsidRDefault="00356A83" w:rsidP="00194E10">
      <w:pPr>
        <w:pStyle w:val="NormalWeb"/>
        <w:shd w:val="clear" w:color="auto" w:fill="FFFFFF"/>
        <w:spacing w:before="0" w:beforeAutospacing="0" w:after="0" w:afterAutospacing="0"/>
        <w:ind w:firstLine="720"/>
        <w:jc w:val="both"/>
        <w:rPr>
          <w:sz w:val="28"/>
          <w:szCs w:val="28"/>
          <w:lang w:val="lv-LV"/>
        </w:rPr>
      </w:pPr>
    </w:p>
    <w:p w:rsidR="001A01F5" w:rsidRDefault="001A01F5" w:rsidP="00017916">
      <w:pPr>
        <w:tabs>
          <w:tab w:val="left" w:pos="1418"/>
        </w:tabs>
        <w:spacing w:after="0" w:line="240" w:lineRule="auto"/>
        <w:rPr>
          <w:rFonts w:ascii="Times New Roman" w:hAnsi="Times New Roman" w:cs="Times New Roman"/>
          <w:sz w:val="28"/>
          <w:szCs w:val="28"/>
          <w:lang w:eastAsia="lv-LV"/>
        </w:rPr>
      </w:pPr>
    </w:p>
    <w:p w:rsidR="0093443D" w:rsidRPr="00982865" w:rsidRDefault="0093443D" w:rsidP="00194E10">
      <w:pPr>
        <w:tabs>
          <w:tab w:val="left" w:pos="6237"/>
        </w:tabs>
        <w:spacing w:after="0"/>
        <w:ind w:firstLine="720"/>
        <w:jc w:val="both"/>
        <w:rPr>
          <w:rFonts w:ascii="Times New Roman" w:hAnsi="Times New Roman" w:cs="Times New Roman"/>
          <w:sz w:val="28"/>
          <w:szCs w:val="28"/>
          <w:lang w:eastAsia="lv-LV"/>
        </w:rPr>
      </w:pPr>
      <w:r w:rsidRPr="00982865">
        <w:rPr>
          <w:rFonts w:ascii="Times New Roman" w:hAnsi="Times New Roman" w:cs="Times New Roman"/>
          <w:sz w:val="28"/>
          <w:szCs w:val="28"/>
          <w:lang w:eastAsia="lv-LV"/>
        </w:rPr>
        <w:t>Ministru</w:t>
      </w:r>
      <w:r w:rsidR="00194E10">
        <w:rPr>
          <w:rFonts w:ascii="Times New Roman" w:hAnsi="Times New Roman" w:cs="Times New Roman"/>
          <w:sz w:val="28"/>
          <w:szCs w:val="28"/>
          <w:lang w:eastAsia="lv-LV"/>
        </w:rPr>
        <w:t xml:space="preserve"> prezidente</w:t>
      </w:r>
      <w:r w:rsidRPr="00982865">
        <w:rPr>
          <w:rFonts w:ascii="Times New Roman" w:hAnsi="Times New Roman" w:cs="Times New Roman"/>
          <w:sz w:val="28"/>
          <w:szCs w:val="28"/>
          <w:lang w:eastAsia="lv-LV"/>
        </w:rPr>
        <w:t xml:space="preserve"> </w:t>
      </w:r>
      <w:r w:rsidR="00194E10">
        <w:rPr>
          <w:rFonts w:ascii="Times New Roman" w:hAnsi="Times New Roman" w:cs="Times New Roman"/>
          <w:sz w:val="28"/>
          <w:szCs w:val="28"/>
          <w:lang w:eastAsia="lv-LV"/>
        </w:rPr>
        <w:tab/>
      </w:r>
      <w:r w:rsidRPr="00982865">
        <w:rPr>
          <w:rFonts w:ascii="Times New Roman" w:hAnsi="Times New Roman" w:cs="Times New Roman"/>
          <w:sz w:val="28"/>
          <w:szCs w:val="28"/>
          <w:lang w:eastAsia="lv-LV"/>
        </w:rPr>
        <w:t>L.Straujuma</w:t>
      </w:r>
    </w:p>
    <w:p w:rsidR="0093443D" w:rsidRPr="00982865" w:rsidRDefault="0093443D" w:rsidP="00194E10">
      <w:pPr>
        <w:tabs>
          <w:tab w:val="left" w:pos="6237"/>
        </w:tabs>
        <w:spacing w:after="0"/>
        <w:ind w:firstLine="720"/>
        <w:rPr>
          <w:rFonts w:ascii="Times New Roman" w:hAnsi="Times New Roman" w:cs="Times New Roman"/>
          <w:sz w:val="28"/>
          <w:szCs w:val="28"/>
          <w:lang w:eastAsia="lv-LV"/>
        </w:rPr>
      </w:pPr>
    </w:p>
    <w:p w:rsidR="0093443D" w:rsidRPr="00982865" w:rsidRDefault="0093443D" w:rsidP="00194E10">
      <w:pPr>
        <w:tabs>
          <w:tab w:val="left" w:pos="6237"/>
        </w:tabs>
        <w:spacing w:after="0" w:line="240" w:lineRule="auto"/>
        <w:ind w:firstLine="720"/>
        <w:rPr>
          <w:rFonts w:ascii="Times New Roman" w:hAnsi="Times New Roman" w:cs="Times New Roman"/>
          <w:sz w:val="28"/>
          <w:szCs w:val="28"/>
          <w:lang w:eastAsia="lv-LV"/>
        </w:rPr>
      </w:pPr>
      <w:r w:rsidRPr="00982865">
        <w:rPr>
          <w:rFonts w:ascii="Times New Roman" w:hAnsi="Times New Roman" w:cs="Times New Roman"/>
          <w:sz w:val="28"/>
          <w:szCs w:val="28"/>
          <w:lang w:eastAsia="lv-LV"/>
        </w:rPr>
        <w:t xml:space="preserve">Vides aizsardzības un </w:t>
      </w:r>
    </w:p>
    <w:p w:rsidR="0093443D" w:rsidRPr="00982865" w:rsidRDefault="0093443D" w:rsidP="00194E10">
      <w:pPr>
        <w:tabs>
          <w:tab w:val="left" w:pos="6237"/>
        </w:tabs>
        <w:spacing w:after="0" w:line="240" w:lineRule="auto"/>
        <w:ind w:firstLine="720"/>
        <w:rPr>
          <w:rFonts w:ascii="Times New Roman" w:hAnsi="Times New Roman" w:cs="Times New Roman"/>
          <w:sz w:val="28"/>
          <w:szCs w:val="28"/>
          <w:lang w:eastAsia="lv-LV"/>
        </w:rPr>
      </w:pPr>
      <w:r w:rsidRPr="00982865">
        <w:rPr>
          <w:rFonts w:ascii="Times New Roman" w:hAnsi="Times New Roman" w:cs="Times New Roman"/>
          <w:sz w:val="28"/>
          <w:szCs w:val="28"/>
          <w:lang w:eastAsia="lv-LV"/>
        </w:rPr>
        <w:t>reģionālās attīstības ministrs</w:t>
      </w:r>
      <w:r w:rsidRPr="00982865">
        <w:rPr>
          <w:rFonts w:ascii="Times New Roman" w:hAnsi="Times New Roman" w:cs="Times New Roman"/>
          <w:sz w:val="28"/>
          <w:szCs w:val="28"/>
          <w:lang w:eastAsia="lv-LV"/>
        </w:rPr>
        <w:tab/>
        <w:t>K.Gerhards</w:t>
      </w:r>
    </w:p>
    <w:p w:rsidR="0093443D" w:rsidRPr="00982865" w:rsidRDefault="0093443D" w:rsidP="00194E10">
      <w:pPr>
        <w:tabs>
          <w:tab w:val="left" w:pos="6237"/>
        </w:tabs>
        <w:spacing w:after="0"/>
        <w:ind w:firstLine="720"/>
        <w:rPr>
          <w:rFonts w:ascii="Times New Roman" w:hAnsi="Times New Roman" w:cs="Times New Roman"/>
          <w:sz w:val="28"/>
          <w:szCs w:val="28"/>
        </w:rPr>
      </w:pPr>
    </w:p>
    <w:p w:rsidR="0093443D" w:rsidRPr="00982865" w:rsidRDefault="0093443D" w:rsidP="00017916">
      <w:pPr>
        <w:tabs>
          <w:tab w:val="left" w:pos="6237"/>
        </w:tabs>
        <w:spacing w:after="0" w:line="240" w:lineRule="auto"/>
        <w:jc w:val="both"/>
        <w:rPr>
          <w:rFonts w:ascii="Times New Roman" w:eastAsia="Times New Roman" w:hAnsi="Times New Roman" w:cs="Times New Roman"/>
          <w:sz w:val="28"/>
          <w:szCs w:val="28"/>
          <w:lang w:eastAsia="lv-LV"/>
        </w:rPr>
      </w:pPr>
    </w:p>
    <w:p w:rsidR="0093443D" w:rsidRPr="00982865" w:rsidRDefault="0093443D" w:rsidP="00194E10">
      <w:pPr>
        <w:tabs>
          <w:tab w:val="left" w:pos="6237"/>
        </w:tabs>
        <w:spacing w:after="0" w:line="240" w:lineRule="auto"/>
        <w:ind w:firstLine="720"/>
        <w:jc w:val="both"/>
        <w:rPr>
          <w:rFonts w:ascii="Times New Roman" w:eastAsia="Times New Roman" w:hAnsi="Times New Roman" w:cs="Times New Roman"/>
          <w:b/>
          <w:bCs/>
          <w:sz w:val="28"/>
          <w:szCs w:val="28"/>
          <w:lang w:eastAsia="lv-LV"/>
        </w:rPr>
      </w:pPr>
      <w:r w:rsidRPr="00982865">
        <w:rPr>
          <w:rFonts w:ascii="Times New Roman" w:eastAsia="Times New Roman" w:hAnsi="Times New Roman" w:cs="Times New Roman"/>
          <w:b/>
          <w:sz w:val="28"/>
          <w:szCs w:val="28"/>
          <w:lang w:eastAsia="lv-LV"/>
        </w:rPr>
        <w:t xml:space="preserve">Iesniedzējs: </w:t>
      </w:r>
    </w:p>
    <w:p w:rsidR="00194E10" w:rsidRDefault="0093443D" w:rsidP="00194E10">
      <w:pPr>
        <w:tabs>
          <w:tab w:val="left" w:pos="6237"/>
        </w:tabs>
        <w:spacing w:after="0"/>
        <w:ind w:firstLine="720"/>
        <w:rPr>
          <w:rFonts w:ascii="Times New Roman" w:hAnsi="Times New Roman" w:cs="Times New Roman"/>
          <w:sz w:val="28"/>
          <w:szCs w:val="28"/>
          <w:lang w:eastAsia="lv-LV"/>
        </w:rPr>
      </w:pPr>
      <w:r w:rsidRPr="00982865">
        <w:rPr>
          <w:rFonts w:ascii="Times New Roman" w:hAnsi="Times New Roman" w:cs="Times New Roman"/>
          <w:sz w:val="28"/>
          <w:szCs w:val="28"/>
          <w:lang w:eastAsia="lv-LV"/>
        </w:rPr>
        <w:t>Vides aizsardzības un</w:t>
      </w:r>
      <w:r w:rsidR="00194E10">
        <w:rPr>
          <w:rFonts w:ascii="Times New Roman" w:hAnsi="Times New Roman" w:cs="Times New Roman"/>
          <w:sz w:val="28"/>
          <w:szCs w:val="28"/>
          <w:lang w:eastAsia="lv-LV"/>
        </w:rPr>
        <w:t xml:space="preserve"> </w:t>
      </w:r>
    </w:p>
    <w:p w:rsidR="0093443D" w:rsidRPr="00982865" w:rsidRDefault="00194E10" w:rsidP="00194E10">
      <w:pPr>
        <w:tabs>
          <w:tab w:val="left" w:pos="6237"/>
        </w:tabs>
        <w:spacing w:after="0"/>
        <w:ind w:firstLine="720"/>
        <w:rPr>
          <w:rFonts w:ascii="Times New Roman" w:hAnsi="Times New Roman" w:cs="Times New Roman"/>
          <w:sz w:val="28"/>
          <w:szCs w:val="28"/>
          <w:lang w:eastAsia="lv-LV"/>
        </w:rPr>
      </w:pPr>
      <w:r>
        <w:rPr>
          <w:rFonts w:ascii="Times New Roman" w:hAnsi="Times New Roman" w:cs="Times New Roman"/>
          <w:sz w:val="28"/>
          <w:szCs w:val="28"/>
          <w:lang w:eastAsia="lv-LV"/>
        </w:rPr>
        <w:t>reģionālās attīstības ministrs</w:t>
      </w:r>
      <w:r>
        <w:rPr>
          <w:rFonts w:ascii="Times New Roman" w:hAnsi="Times New Roman" w:cs="Times New Roman"/>
          <w:sz w:val="28"/>
          <w:szCs w:val="28"/>
          <w:lang w:eastAsia="lv-LV"/>
        </w:rPr>
        <w:tab/>
      </w:r>
      <w:r w:rsidR="0093443D" w:rsidRPr="00982865">
        <w:rPr>
          <w:rFonts w:ascii="Times New Roman" w:hAnsi="Times New Roman" w:cs="Times New Roman"/>
          <w:sz w:val="28"/>
          <w:szCs w:val="28"/>
          <w:lang w:eastAsia="lv-LV"/>
        </w:rPr>
        <w:t>K.Gerhards</w:t>
      </w:r>
    </w:p>
    <w:p w:rsidR="0093443D" w:rsidRPr="00982865" w:rsidRDefault="0093443D" w:rsidP="00194E10">
      <w:pPr>
        <w:tabs>
          <w:tab w:val="left" w:pos="3600"/>
          <w:tab w:val="left" w:pos="6237"/>
        </w:tabs>
        <w:spacing w:after="0" w:line="240" w:lineRule="auto"/>
        <w:ind w:firstLine="720"/>
        <w:rPr>
          <w:rFonts w:ascii="Times New Roman" w:eastAsia="Times New Roman" w:hAnsi="Times New Roman" w:cs="Times New Roman"/>
          <w:bCs/>
          <w:sz w:val="28"/>
          <w:szCs w:val="28"/>
        </w:rPr>
      </w:pPr>
      <w:r w:rsidRPr="00982865">
        <w:rPr>
          <w:rFonts w:ascii="Times New Roman" w:eastAsia="Times New Roman" w:hAnsi="Times New Roman" w:cs="Times New Roman"/>
          <w:bCs/>
          <w:sz w:val="28"/>
          <w:szCs w:val="28"/>
        </w:rPr>
        <w:tab/>
      </w:r>
    </w:p>
    <w:p w:rsidR="0093443D" w:rsidRPr="00982865" w:rsidRDefault="0093443D" w:rsidP="00194E10">
      <w:pPr>
        <w:tabs>
          <w:tab w:val="left" w:pos="3600"/>
          <w:tab w:val="left" w:pos="6237"/>
        </w:tabs>
        <w:spacing w:after="0" w:line="240" w:lineRule="auto"/>
        <w:ind w:firstLine="720"/>
        <w:rPr>
          <w:rFonts w:ascii="Times New Roman" w:eastAsia="Times New Roman" w:hAnsi="Times New Roman" w:cs="Times New Roman"/>
          <w:bCs/>
          <w:sz w:val="28"/>
          <w:szCs w:val="28"/>
        </w:rPr>
      </w:pPr>
    </w:p>
    <w:p w:rsidR="0093443D" w:rsidRPr="00982865" w:rsidRDefault="0093443D" w:rsidP="00194E10">
      <w:pPr>
        <w:tabs>
          <w:tab w:val="left" w:pos="6237"/>
        </w:tabs>
        <w:spacing w:after="0" w:line="240" w:lineRule="auto"/>
        <w:ind w:firstLine="720"/>
        <w:jc w:val="both"/>
        <w:rPr>
          <w:rFonts w:ascii="Times New Roman" w:eastAsia="Times New Roman" w:hAnsi="Times New Roman" w:cs="Times New Roman"/>
          <w:bCs/>
          <w:sz w:val="28"/>
          <w:szCs w:val="28"/>
          <w:lang w:eastAsia="lv-LV"/>
        </w:rPr>
      </w:pPr>
      <w:r w:rsidRPr="00982865">
        <w:rPr>
          <w:rFonts w:ascii="Times New Roman" w:eastAsia="Times New Roman" w:hAnsi="Times New Roman" w:cs="Times New Roman"/>
          <w:b/>
          <w:bCs/>
          <w:sz w:val="28"/>
          <w:szCs w:val="28"/>
          <w:lang w:eastAsia="lv-LV"/>
        </w:rPr>
        <w:t xml:space="preserve">Vīza: </w:t>
      </w:r>
    </w:p>
    <w:p w:rsidR="0093443D" w:rsidRPr="00982865" w:rsidRDefault="0093443D" w:rsidP="00194E10">
      <w:pPr>
        <w:tabs>
          <w:tab w:val="left" w:pos="6237"/>
        </w:tabs>
        <w:spacing w:after="0" w:line="240" w:lineRule="auto"/>
        <w:ind w:firstLine="720"/>
        <w:jc w:val="both"/>
        <w:rPr>
          <w:rFonts w:ascii="Times New Roman" w:eastAsia="Times New Roman" w:hAnsi="Times New Roman" w:cs="Times New Roman"/>
          <w:bCs/>
          <w:sz w:val="28"/>
          <w:szCs w:val="28"/>
          <w:lang w:eastAsia="lv-LV"/>
        </w:rPr>
      </w:pPr>
      <w:r w:rsidRPr="00982865">
        <w:rPr>
          <w:rFonts w:ascii="Times New Roman" w:eastAsia="Times New Roman" w:hAnsi="Times New Roman" w:cs="Times New Roman"/>
          <w:bCs/>
          <w:sz w:val="28"/>
          <w:szCs w:val="28"/>
          <w:lang w:eastAsia="lv-LV"/>
        </w:rPr>
        <w:t>valsts sekretārs</w:t>
      </w:r>
      <w:r w:rsidRPr="00982865">
        <w:rPr>
          <w:rFonts w:ascii="Times New Roman" w:eastAsia="Times New Roman" w:hAnsi="Times New Roman" w:cs="Times New Roman"/>
          <w:bCs/>
          <w:sz w:val="28"/>
          <w:szCs w:val="28"/>
          <w:lang w:eastAsia="lv-LV"/>
        </w:rPr>
        <w:tab/>
        <w:t>G.Puķītis</w:t>
      </w:r>
    </w:p>
    <w:p w:rsidR="00961F09" w:rsidRPr="00327691" w:rsidRDefault="00017916" w:rsidP="00017916">
      <w:pPr>
        <w:tabs>
          <w:tab w:val="left" w:pos="3390"/>
        </w:tabs>
        <w:spacing w:after="0" w:line="240" w:lineRule="auto"/>
        <w:jc w:val="both"/>
        <w:rPr>
          <w:rFonts w:ascii="Times New Roman" w:hAnsi="Times New Roman" w:cs="Times New Roman"/>
          <w:sz w:val="16"/>
          <w:szCs w:val="16"/>
        </w:rPr>
      </w:pPr>
      <w:r>
        <w:rPr>
          <w:rFonts w:ascii="Times New Roman" w:hAnsi="Times New Roman" w:cs="Times New Roman"/>
          <w:sz w:val="28"/>
          <w:szCs w:val="28"/>
        </w:rPr>
        <w:tab/>
      </w:r>
    </w:p>
    <w:p w:rsidR="00017916" w:rsidRDefault="00017916" w:rsidP="00017916">
      <w:pPr>
        <w:tabs>
          <w:tab w:val="left" w:pos="6804"/>
        </w:tabs>
        <w:spacing w:after="0" w:line="240" w:lineRule="auto"/>
        <w:ind w:right="49" w:firstLine="720"/>
        <w:jc w:val="both"/>
        <w:rPr>
          <w:rFonts w:ascii="Times New Roman" w:hAnsi="Times New Roman" w:cs="Times New Roman"/>
          <w:sz w:val="16"/>
          <w:szCs w:val="16"/>
        </w:rPr>
      </w:pPr>
      <w:r>
        <w:rPr>
          <w:rFonts w:ascii="Times New Roman" w:hAnsi="Times New Roman" w:cs="Times New Roman"/>
          <w:sz w:val="16"/>
          <w:szCs w:val="16"/>
        </w:rPr>
        <w:t>19.10.2015. 11:00</w:t>
      </w:r>
    </w:p>
    <w:p w:rsidR="00961F09" w:rsidRPr="00327691" w:rsidRDefault="007C7223" w:rsidP="00017916">
      <w:pPr>
        <w:tabs>
          <w:tab w:val="left" w:pos="6804"/>
        </w:tabs>
        <w:spacing w:after="0" w:line="240" w:lineRule="auto"/>
        <w:ind w:right="49" w:firstLine="720"/>
        <w:jc w:val="both"/>
        <w:rPr>
          <w:rFonts w:ascii="Times New Roman" w:hAnsi="Times New Roman" w:cs="Times New Roman"/>
          <w:sz w:val="16"/>
          <w:szCs w:val="16"/>
        </w:rPr>
      </w:pPr>
      <w:r w:rsidRPr="00327691">
        <w:rPr>
          <w:rFonts w:ascii="Times New Roman" w:hAnsi="Times New Roman" w:cs="Times New Roman"/>
          <w:sz w:val="16"/>
          <w:szCs w:val="16"/>
        </w:rPr>
        <w:t>6</w:t>
      </w:r>
      <w:r w:rsidR="00194E10" w:rsidRPr="00327691">
        <w:rPr>
          <w:rFonts w:ascii="Times New Roman" w:hAnsi="Times New Roman" w:cs="Times New Roman"/>
          <w:sz w:val="16"/>
          <w:szCs w:val="16"/>
        </w:rPr>
        <w:t>08</w:t>
      </w:r>
    </w:p>
    <w:p w:rsidR="00961F09" w:rsidRPr="00327691" w:rsidRDefault="00C02B24" w:rsidP="00017916">
      <w:pPr>
        <w:tabs>
          <w:tab w:val="left" w:pos="6804"/>
        </w:tabs>
        <w:spacing w:after="0" w:line="240" w:lineRule="auto"/>
        <w:ind w:firstLine="720"/>
        <w:jc w:val="both"/>
        <w:rPr>
          <w:rFonts w:ascii="Times New Roman" w:hAnsi="Times New Roman" w:cs="Times New Roman"/>
          <w:sz w:val="16"/>
          <w:szCs w:val="16"/>
        </w:rPr>
      </w:pPr>
      <w:r w:rsidRPr="00327691">
        <w:rPr>
          <w:rFonts w:ascii="Times New Roman" w:hAnsi="Times New Roman" w:cs="Times New Roman"/>
          <w:sz w:val="16"/>
          <w:szCs w:val="16"/>
        </w:rPr>
        <w:t>K</w:t>
      </w:r>
      <w:r w:rsidR="00D7054D" w:rsidRPr="00327691">
        <w:rPr>
          <w:rFonts w:ascii="Times New Roman" w:hAnsi="Times New Roman" w:cs="Times New Roman"/>
          <w:sz w:val="16"/>
          <w:szCs w:val="16"/>
        </w:rPr>
        <w:t>.</w:t>
      </w:r>
      <w:r w:rsidRPr="00327691">
        <w:rPr>
          <w:rFonts w:ascii="Times New Roman" w:hAnsi="Times New Roman" w:cs="Times New Roman"/>
          <w:sz w:val="16"/>
          <w:szCs w:val="16"/>
        </w:rPr>
        <w:t>Puriņa</w:t>
      </w:r>
    </w:p>
    <w:p w:rsidR="00961F09" w:rsidRPr="00017916" w:rsidRDefault="00C02B24" w:rsidP="00017916">
      <w:pPr>
        <w:tabs>
          <w:tab w:val="left" w:pos="6804"/>
        </w:tabs>
        <w:spacing w:after="0" w:line="240" w:lineRule="auto"/>
        <w:ind w:firstLine="720"/>
        <w:jc w:val="both"/>
        <w:rPr>
          <w:rFonts w:ascii="Times New Roman" w:hAnsi="Times New Roman" w:cs="Times New Roman"/>
          <w:sz w:val="16"/>
          <w:szCs w:val="16"/>
        </w:rPr>
      </w:pPr>
      <w:r w:rsidRPr="00327691">
        <w:rPr>
          <w:rFonts w:ascii="Times New Roman" w:hAnsi="Times New Roman" w:cs="Times New Roman"/>
          <w:sz w:val="16"/>
          <w:szCs w:val="16"/>
        </w:rPr>
        <w:t>67026461</w:t>
      </w:r>
      <w:r w:rsidR="00961F09" w:rsidRPr="00327691">
        <w:rPr>
          <w:rFonts w:ascii="Times New Roman" w:hAnsi="Times New Roman" w:cs="Times New Roman"/>
          <w:sz w:val="16"/>
          <w:szCs w:val="16"/>
        </w:rPr>
        <w:t>,</w:t>
      </w:r>
      <w:r w:rsidR="00247A44" w:rsidRPr="00017916">
        <w:rPr>
          <w:rFonts w:ascii="Times New Roman" w:hAnsi="Times New Roman" w:cs="Times New Roman"/>
          <w:sz w:val="16"/>
          <w:szCs w:val="16"/>
        </w:rPr>
        <w:t xml:space="preserve"> </w:t>
      </w:r>
      <w:hyperlink r:id="rId8" w:history="1">
        <w:r w:rsidR="00017916" w:rsidRPr="00C2665C">
          <w:rPr>
            <w:rStyle w:val="Hyperlink"/>
            <w:rFonts w:ascii="Times New Roman" w:hAnsi="Times New Roman" w:cs="Times New Roman"/>
            <w:sz w:val="16"/>
            <w:szCs w:val="16"/>
          </w:rPr>
          <w:t>kristine.purina@varam.gov.lv</w:t>
        </w:r>
      </w:hyperlink>
      <w:r w:rsidR="00017916">
        <w:rPr>
          <w:rFonts w:ascii="Times New Roman" w:hAnsi="Times New Roman" w:cs="Times New Roman"/>
          <w:sz w:val="16"/>
          <w:szCs w:val="16"/>
        </w:rPr>
        <w:t xml:space="preserve"> </w:t>
      </w:r>
      <w:bookmarkStart w:id="3" w:name="_GoBack"/>
      <w:bookmarkEnd w:id="3"/>
    </w:p>
    <w:sectPr w:rsidR="00961F09" w:rsidRPr="00017916" w:rsidSect="005A2130">
      <w:headerReference w:type="default" r:id="rId9"/>
      <w:footerReference w:type="default" r:id="rId10"/>
      <w:footerReference w:type="first" r:id="rId11"/>
      <w:pgSz w:w="12240" w:h="15840" w:code="1"/>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D0E" w:rsidRDefault="00172D0E" w:rsidP="00EF56B3">
      <w:pPr>
        <w:spacing w:after="0" w:line="240" w:lineRule="auto"/>
      </w:pPr>
      <w:r>
        <w:separator/>
      </w:r>
    </w:p>
  </w:endnote>
  <w:endnote w:type="continuationSeparator" w:id="0">
    <w:p w:rsidR="00172D0E" w:rsidRDefault="00172D0E" w:rsidP="00EF5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909" w:rsidRPr="00184FD6" w:rsidRDefault="001A6909" w:rsidP="001A690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sidR="00327691">
      <w:rPr>
        <w:rFonts w:ascii="Times New Roman" w:hAnsi="Times New Roman" w:cs="Times New Roman"/>
        <w:sz w:val="20"/>
        <w:szCs w:val="20"/>
      </w:rPr>
      <w:t>19</w:t>
    </w:r>
    <w:r w:rsidR="009F3C91">
      <w:rPr>
        <w:rFonts w:ascii="Times New Roman" w:hAnsi="Times New Roman" w:cs="Times New Roman"/>
        <w:sz w:val="20"/>
        <w:szCs w:val="20"/>
      </w:rPr>
      <w:t>10</w:t>
    </w:r>
    <w:r>
      <w:rPr>
        <w:rFonts w:ascii="Times New Roman" w:hAnsi="Times New Roman" w:cs="Times New Roman"/>
        <w:sz w:val="20"/>
        <w:szCs w:val="20"/>
      </w:rPr>
      <w:t>15_</w:t>
    </w:r>
    <w:r w:rsidR="00194E10">
      <w:rPr>
        <w:rFonts w:ascii="Times New Roman" w:hAnsi="Times New Roman" w:cs="Times New Roman"/>
        <w:sz w:val="20"/>
        <w:szCs w:val="20"/>
      </w:rPr>
      <w:t>MK319_</w:t>
    </w:r>
    <w:r w:rsidR="00ED343C" w:rsidRPr="0086497B">
      <w:rPr>
        <w:rFonts w:ascii="Times New Roman" w:hAnsi="Times New Roman" w:cs="Times New Roman"/>
        <w:sz w:val="20"/>
        <w:szCs w:val="20"/>
      </w:rPr>
      <w:t>reģenerācija</w:t>
    </w:r>
    <w:r w:rsidRPr="0086497B">
      <w:rPr>
        <w:rFonts w:ascii="Times New Roman" w:hAnsi="Times New Roman" w:cs="Times New Roman"/>
        <w:sz w:val="20"/>
        <w:szCs w:val="20"/>
      </w:rPr>
      <w:t>;</w:t>
    </w:r>
    <w:r>
      <w:rPr>
        <w:rFonts w:ascii="Times New Roman" w:hAnsi="Times New Roman" w:cs="Times New Roman"/>
        <w:sz w:val="20"/>
        <w:szCs w:val="20"/>
      </w:rPr>
      <w:t xml:space="preserve">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proofErr w:type="gramStart"/>
    <w:r w:rsidR="009F4678">
      <w:rPr>
        <w:rFonts w:ascii="Times New Roman" w:hAnsi="Times New Roman" w:cs="Times New Roman"/>
        <w:sz w:val="20"/>
        <w:szCs w:val="20"/>
      </w:rPr>
      <w:t>2011.gada</w:t>
    </w:r>
    <w:proofErr w:type="gramEnd"/>
    <w:r w:rsidR="009F4678">
      <w:rPr>
        <w:rFonts w:ascii="Times New Roman" w:hAnsi="Times New Roman" w:cs="Times New Roman"/>
        <w:sz w:val="20"/>
        <w:szCs w:val="20"/>
      </w:rPr>
      <w:t xml:space="preserve"> 26</w:t>
    </w:r>
    <w:r w:rsidR="00F41407">
      <w:rPr>
        <w:rFonts w:ascii="Times New Roman" w:hAnsi="Times New Roman" w:cs="Times New Roman"/>
        <w:sz w:val="20"/>
        <w:szCs w:val="20"/>
      </w:rPr>
      <w:t>.aprī</w:t>
    </w:r>
    <w:r w:rsidR="00F41407" w:rsidRPr="00152F1F">
      <w:rPr>
        <w:rFonts w:ascii="Times New Roman" w:hAnsi="Times New Roman" w:cs="Times New Roman"/>
        <w:sz w:val="20"/>
        <w:szCs w:val="20"/>
      </w:rPr>
      <w:t>ļa</w:t>
    </w:r>
    <w:r w:rsidR="009F4678">
      <w:rPr>
        <w:rFonts w:ascii="Times New Roman" w:hAnsi="Times New Roman" w:cs="Times New Roman"/>
        <w:sz w:val="20"/>
        <w:szCs w:val="20"/>
      </w:rPr>
      <w:t xml:space="preserve"> noteikumos Nr.319</w:t>
    </w:r>
    <w:r w:rsidRPr="00184FD6">
      <w:rPr>
        <w:rFonts w:ascii="Times New Roman" w:hAnsi="Times New Roman" w:cs="Times New Roman"/>
        <w:sz w:val="20"/>
        <w:szCs w:val="20"/>
      </w:rPr>
      <w:t xml:space="preserve"> „Noteikumi par </w:t>
    </w:r>
    <w:r w:rsidR="00F41407">
      <w:rPr>
        <w:rFonts w:ascii="Times New Roman" w:hAnsi="Times New Roman" w:cs="Times New Roman"/>
        <w:sz w:val="20"/>
        <w:szCs w:val="20"/>
      </w:rPr>
      <w:t xml:space="preserve">atkritumu </w:t>
    </w:r>
    <w:r w:rsidR="009F4678">
      <w:rPr>
        <w:rFonts w:ascii="Times New Roman" w:hAnsi="Times New Roman" w:cs="Times New Roman"/>
        <w:sz w:val="20"/>
        <w:szCs w:val="20"/>
      </w:rPr>
      <w:t>reģenerācijas un apglabāšanas veidiem</w:t>
    </w:r>
    <w:r w:rsidRPr="00184FD6">
      <w:rPr>
        <w:rFonts w:ascii="Times New Roman" w:hAnsi="Times New Roman" w:cs="Times New Roman"/>
        <w:sz w:val="20"/>
        <w:szCs w:val="20"/>
      </w:rPr>
      <w:t>”</w:t>
    </w:r>
    <w:r w:rsidRPr="00EF56B3">
      <w:rPr>
        <w:rFonts w:ascii="Times New Roman" w:hAnsi="Times New Roman" w:cs="Times New Roman"/>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130" w:rsidRPr="00194E10" w:rsidRDefault="005A2130" w:rsidP="00194E1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sidR="00327691">
      <w:rPr>
        <w:rFonts w:ascii="Times New Roman" w:hAnsi="Times New Roman" w:cs="Times New Roman"/>
        <w:sz w:val="20"/>
        <w:szCs w:val="20"/>
      </w:rPr>
      <w:t>19</w:t>
    </w:r>
    <w:r>
      <w:rPr>
        <w:rFonts w:ascii="Times New Roman" w:hAnsi="Times New Roman" w:cs="Times New Roman"/>
        <w:sz w:val="20"/>
        <w:szCs w:val="20"/>
      </w:rPr>
      <w:t>1015_</w:t>
    </w:r>
    <w:r w:rsidR="00194E10">
      <w:rPr>
        <w:rFonts w:ascii="Times New Roman" w:hAnsi="Times New Roman" w:cs="Times New Roman"/>
        <w:sz w:val="20"/>
        <w:szCs w:val="20"/>
      </w:rPr>
      <w:t>MK319_</w:t>
    </w:r>
    <w:r w:rsidRPr="0086497B">
      <w:rPr>
        <w:rFonts w:ascii="Times New Roman" w:hAnsi="Times New Roman" w:cs="Times New Roman"/>
        <w:sz w:val="20"/>
        <w:szCs w:val="20"/>
      </w:rPr>
      <w:t>reģenerācija;</w:t>
    </w:r>
    <w:r>
      <w:rPr>
        <w:rFonts w:ascii="Times New Roman" w:hAnsi="Times New Roman" w:cs="Times New Roman"/>
        <w:sz w:val="20"/>
        <w:szCs w:val="20"/>
      </w:rPr>
      <w:t xml:space="preserve">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proofErr w:type="gramStart"/>
    <w:r>
      <w:rPr>
        <w:rFonts w:ascii="Times New Roman" w:hAnsi="Times New Roman" w:cs="Times New Roman"/>
        <w:sz w:val="20"/>
        <w:szCs w:val="20"/>
      </w:rPr>
      <w:t>2011.gada</w:t>
    </w:r>
    <w:proofErr w:type="gramEnd"/>
    <w:r>
      <w:rPr>
        <w:rFonts w:ascii="Times New Roman" w:hAnsi="Times New Roman" w:cs="Times New Roman"/>
        <w:sz w:val="20"/>
        <w:szCs w:val="20"/>
      </w:rPr>
      <w:t xml:space="preserve"> 26.aprī</w:t>
    </w:r>
    <w:r w:rsidRPr="00152F1F">
      <w:rPr>
        <w:rFonts w:ascii="Times New Roman" w:hAnsi="Times New Roman" w:cs="Times New Roman"/>
        <w:sz w:val="20"/>
        <w:szCs w:val="20"/>
      </w:rPr>
      <w:t>ļa</w:t>
    </w:r>
    <w:r>
      <w:rPr>
        <w:rFonts w:ascii="Times New Roman" w:hAnsi="Times New Roman" w:cs="Times New Roman"/>
        <w:sz w:val="20"/>
        <w:szCs w:val="20"/>
      </w:rPr>
      <w:t xml:space="preserve"> noteikumos Nr.319</w:t>
    </w:r>
    <w:r w:rsidRPr="00184FD6">
      <w:rPr>
        <w:rFonts w:ascii="Times New Roman" w:hAnsi="Times New Roman" w:cs="Times New Roman"/>
        <w:sz w:val="20"/>
        <w:szCs w:val="20"/>
      </w:rPr>
      <w:t xml:space="preserve"> „Noteikumi par </w:t>
    </w:r>
    <w:r>
      <w:rPr>
        <w:rFonts w:ascii="Times New Roman" w:hAnsi="Times New Roman" w:cs="Times New Roman"/>
        <w:sz w:val="20"/>
        <w:szCs w:val="20"/>
      </w:rPr>
      <w:t>atkritumu reģenerācijas un apglabāšanas veidiem</w:t>
    </w:r>
    <w:r w:rsidRPr="00184FD6">
      <w:rPr>
        <w:rFonts w:ascii="Times New Roman" w:hAnsi="Times New Roman" w:cs="Times New Roman"/>
        <w:sz w:val="20"/>
        <w:szCs w:val="20"/>
      </w:rPr>
      <w:t>”</w:t>
    </w:r>
    <w:r w:rsidRPr="00EF56B3">
      <w:rPr>
        <w:rFonts w:ascii="Times New Roman" w:hAnsi="Times New Roman" w:cs="Times New Roman"/>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D0E" w:rsidRDefault="00172D0E" w:rsidP="00EF56B3">
      <w:pPr>
        <w:spacing w:after="0" w:line="240" w:lineRule="auto"/>
      </w:pPr>
      <w:r>
        <w:separator/>
      </w:r>
    </w:p>
  </w:footnote>
  <w:footnote w:type="continuationSeparator" w:id="0">
    <w:p w:rsidR="00172D0E" w:rsidRDefault="00172D0E" w:rsidP="00EF56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445402"/>
      <w:docPartObj>
        <w:docPartGallery w:val="Page Numbers (Top of Page)"/>
        <w:docPartUnique/>
      </w:docPartObj>
    </w:sdtPr>
    <w:sdtEndPr>
      <w:rPr>
        <w:rFonts w:ascii="Times New Roman" w:hAnsi="Times New Roman" w:cs="Times New Roman"/>
        <w:noProof/>
      </w:rPr>
    </w:sdtEndPr>
    <w:sdtContent>
      <w:p w:rsidR="005A2130" w:rsidRDefault="002F389A" w:rsidP="00194E10">
        <w:pPr>
          <w:pStyle w:val="Header"/>
          <w:jc w:val="center"/>
        </w:pPr>
        <w:r w:rsidRPr="00096B7D">
          <w:rPr>
            <w:rFonts w:ascii="Times New Roman" w:hAnsi="Times New Roman" w:cs="Times New Roman"/>
          </w:rPr>
          <w:fldChar w:fldCharType="begin"/>
        </w:r>
        <w:r w:rsidR="006A10A2" w:rsidRPr="00096B7D">
          <w:rPr>
            <w:rFonts w:ascii="Times New Roman" w:hAnsi="Times New Roman" w:cs="Times New Roman"/>
          </w:rPr>
          <w:instrText xml:space="preserve"> PAGE   \* MERGEFORMAT </w:instrText>
        </w:r>
        <w:r w:rsidRPr="00096B7D">
          <w:rPr>
            <w:rFonts w:ascii="Times New Roman" w:hAnsi="Times New Roman" w:cs="Times New Roman"/>
          </w:rPr>
          <w:fldChar w:fldCharType="separate"/>
        </w:r>
        <w:r w:rsidR="00017916">
          <w:rPr>
            <w:rFonts w:ascii="Times New Roman" w:hAnsi="Times New Roman" w:cs="Times New Roman"/>
            <w:noProof/>
          </w:rPr>
          <w:t>2</w:t>
        </w:r>
        <w:r w:rsidRPr="00096B7D">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D5D30"/>
    <w:multiLevelType w:val="hybridMultilevel"/>
    <w:tmpl w:val="9210DF8E"/>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1" w15:restartNumberingAfterBreak="0">
    <w:nsid w:val="28464431"/>
    <w:multiLevelType w:val="hybridMultilevel"/>
    <w:tmpl w:val="BB7CFCFE"/>
    <w:lvl w:ilvl="0" w:tplc="E8EC39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9F42646"/>
    <w:multiLevelType w:val="hybridMultilevel"/>
    <w:tmpl w:val="5D4ED902"/>
    <w:lvl w:ilvl="0" w:tplc="E8EC39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CD17D86"/>
    <w:multiLevelType w:val="multilevel"/>
    <w:tmpl w:val="47FC1B30"/>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4" w15:restartNumberingAfterBreak="0">
    <w:nsid w:val="2E2746AC"/>
    <w:multiLevelType w:val="hybridMultilevel"/>
    <w:tmpl w:val="ECF4F38C"/>
    <w:lvl w:ilvl="0" w:tplc="5EFE97E0">
      <w:start w:val="1"/>
      <w:numFmt w:val="decimal"/>
      <w:lvlText w:val="%1)"/>
      <w:lvlJc w:val="left"/>
      <w:pPr>
        <w:ind w:left="1440" w:hanging="360"/>
      </w:pPr>
      <w:rPr>
        <w:rFonts w:ascii="Times New Roman" w:hAnsi="Times New Roman" w:cs="Times New Roman" w:hint="default"/>
        <w:sz w:val="28"/>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385A078E"/>
    <w:multiLevelType w:val="hybridMultilevel"/>
    <w:tmpl w:val="053053A8"/>
    <w:lvl w:ilvl="0" w:tplc="E8EC39B6">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48D67ACF"/>
    <w:multiLevelType w:val="hybridMultilevel"/>
    <w:tmpl w:val="EC3C558A"/>
    <w:lvl w:ilvl="0" w:tplc="7974E72A">
      <w:start w:val="4"/>
      <w:numFmt w:val="decimal"/>
      <w:lvlText w:val="%1."/>
      <w:lvlJc w:val="left"/>
      <w:pPr>
        <w:ind w:left="1353" w:hanging="360"/>
      </w:pPr>
      <w:rPr>
        <w:rFonts w:hint="default"/>
      </w:r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7" w15:restartNumberingAfterBreak="0">
    <w:nsid w:val="4A3E778E"/>
    <w:multiLevelType w:val="hybridMultilevel"/>
    <w:tmpl w:val="67025400"/>
    <w:lvl w:ilvl="0" w:tplc="8B0239C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5B4C76"/>
    <w:multiLevelType w:val="hybridMultilevel"/>
    <w:tmpl w:val="3CC0E26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4D2B37F7"/>
    <w:multiLevelType w:val="hybridMultilevel"/>
    <w:tmpl w:val="989E5A3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542B3521"/>
    <w:multiLevelType w:val="hybridMultilevel"/>
    <w:tmpl w:val="0C00AC50"/>
    <w:lvl w:ilvl="0" w:tplc="BA143224">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3F2098C"/>
    <w:multiLevelType w:val="hybridMultilevel"/>
    <w:tmpl w:val="C872642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79E633E2"/>
    <w:multiLevelType w:val="hybridMultilevel"/>
    <w:tmpl w:val="7D827AF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1"/>
  </w:num>
  <w:num w:numId="2">
    <w:abstractNumId w:val="2"/>
  </w:num>
  <w:num w:numId="3">
    <w:abstractNumId w:val="5"/>
  </w:num>
  <w:num w:numId="4">
    <w:abstractNumId w:val="0"/>
  </w:num>
  <w:num w:numId="5">
    <w:abstractNumId w:val="8"/>
  </w:num>
  <w:num w:numId="6">
    <w:abstractNumId w:val="11"/>
  </w:num>
  <w:num w:numId="7">
    <w:abstractNumId w:val="9"/>
  </w:num>
  <w:num w:numId="8">
    <w:abstractNumId w:val="12"/>
  </w:num>
  <w:num w:numId="9">
    <w:abstractNumId w:val="4"/>
  </w:num>
  <w:num w:numId="10">
    <w:abstractNumId w:val="3"/>
  </w:num>
  <w:num w:numId="11">
    <w:abstractNumId w:val="6"/>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71"/>
    <w:rsid w:val="00000EC8"/>
    <w:rsid w:val="00007252"/>
    <w:rsid w:val="00010FFA"/>
    <w:rsid w:val="000124F8"/>
    <w:rsid w:val="00017916"/>
    <w:rsid w:val="00022F3F"/>
    <w:rsid w:val="00032FCF"/>
    <w:rsid w:val="0003548A"/>
    <w:rsid w:val="000571E2"/>
    <w:rsid w:val="00065652"/>
    <w:rsid w:val="00077292"/>
    <w:rsid w:val="0007765F"/>
    <w:rsid w:val="000866CC"/>
    <w:rsid w:val="00096B7D"/>
    <w:rsid w:val="000A1616"/>
    <w:rsid w:val="000A65A0"/>
    <w:rsid w:val="000C6018"/>
    <w:rsid w:val="000E5C71"/>
    <w:rsid w:val="000E5F36"/>
    <w:rsid w:val="000F0C91"/>
    <w:rsid w:val="000F5665"/>
    <w:rsid w:val="000F63A0"/>
    <w:rsid w:val="001056A2"/>
    <w:rsid w:val="00107B46"/>
    <w:rsid w:val="001109BA"/>
    <w:rsid w:val="001111F5"/>
    <w:rsid w:val="00123F27"/>
    <w:rsid w:val="001342E2"/>
    <w:rsid w:val="00136F13"/>
    <w:rsid w:val="001411B4"/>
    <w:rsid w:val="00147AF3"/>
    <w:rsid w:val="00152F1F"/>
    <w:rsid w:val="00156F48"/>
    <w:rsid w:val="00161BEB"/>
    <w:rsid w:val="001726D9"/>
    <w:rsid w:val="00172D0E"/>
    <w:rsid w:val="00182D81"/>
    <w:rsid w:val="00184FD6"/>
    <w:rsid w:val="00194E10"/>
    <w:rsid w:val="001A01F5"/>
    <w:rsid w:val="001A24A8"/>
    <w:rsid w:val="001A6909"/>
    <w:rsid w:val="001B01ED"/>
    <w:rsid w:val="001C042C"/>
    <w:rsid w:val="001C21FE"/>
    <w:rsid w:val="001E5211"/>
    <w:rsid w:val="001E5955"/>
    <w:rsid w:val="001E7572"/>
    <w:rsid w:val="001F0869"/>
    <w:rsid w:val="00202CF1"/>
    <w:rsid w:val="00233C02"/>
    <w:rsid w:val="00242D85"/>
    <w:rsid w:val="0024588F"/>
    <w:rsid w:val="00247A44"/>
    <w:rsid w:val="00250AAF"/>
    <w:rsid w:val="00282A9C"/>
    <w:rsid w:val="00296819"/>
    <w:rsid w:val="002A307B"/>
    <w:rsid w:val="002B27D9"/>
    <w:rsid w:val="002B50A3"/>
    <w:rsid w:val="002D210C"/>
    <w:rsid w:val="002D2176"/>
    <w:rsid w:val="002E3F37"/>
    <w:rsid w:val="002E62B3"/>
    <w:rsid w:val="002F2361"/>
    <w:rsid w:val="002F389A"/>
    <w:rsid w:val="003021D9"/>
    <w:rsid w:val="00307065"/>
    <w:rsid w:val="00324E17"/>
    <w:rsid w:val="00327691"/>
    <w:rsid w:val="00333782"/>
    <w:rsid w:val="00343C47"/>
    <w:rsid w:val="0034428E"/>
    <w:rsid w:val="00350ACE"/>
    <w:rsid w:val="00353C94"/>
    <w:rsid w:val="00356A83"/>
    <w:rsid w:val="00366808"/>
    <w:rsid w:val="0037215F"/>
    <w:rsid w:val="00381C60"/>
    <w:rsid w:val="0039521B"/>
    <w:rsid w:val="00395AA2"/>
    <w:rsid w:val="003D0E7D"/>
    <w:rsid w:val="003D196F"/>
    <w:rsid w:val="003E41DE"/>
    <w:rsid w:val="0040242E"/>
    <w:rsid w:val="00414D1A"/>
    <w:rsid w:val="00416CBF"/>
    <w:rsid w:val="00423753"/>
    <w:rsid w:val="00430CB8"/>
    <w:rsid w:val="0043170B"/>
    <w:rsid w:val="00440BCA"/>
    <w:rsid w:val="00445E9D"/>
    <w:rsid w:val="00462D5F"/>
    <w:rsid w:val="00463B6F"/>
    <w:rsid w:val="00471859"/>
    <w:rsid w:val="00474A5F"/>
    <w:rsid w:val="00487BD4"/>
    <w:rsid w:val="004A3DDA"/>
    <w:rsid w:val="004B5D84"/>
    <w:rsid w:val="004B7E92"/>
    <w:rsid w:val="004C036A"/>
    <w:rsid w:val="004C212C"/>
    <w:rsid w:val="004D4C99"/>
    <w:rsid w:val="004E5622"/>
    <w:rsid w:val="004E608D"/>
    <w:rsid w:val="004F4385"/>
    <w:rsid w:val="004F580A"/>
    <w:rsid w:val="004F73F4"/>
    <w:rsid w:val="005053BB"/>
    <w:rsid w:val="00506BB6"/>
    <w:rsid w:val="005128E2"/>
    <w:rsid w:val="00521D4D"/>
    <w:rsid w:val="00531348"/>
    <w:rsid w:val="00543847"/>
    <w:rsid w:val="005766E7"/>
    <w:rsid w:val="005820BC"/>
    <w:rsid w:val="00582BBD"/>
    <w:rsid w:val="00590F71"/>
    <w:rsid w:val="0059636F"/>
    <w:rsid w:val="005A2130"/>
    <w:rsid w:val="005C4AD3"/>
    <w:rsid w:val="005D0910"/>
    <w:rsid w:val="005D156B"/>
    <w:rsid w:val="005E76CE"/>
    <w:rsid w:val="006050F2"/>
    <w:rsid w:val="00614B3D"/>
    <w:rsid w:val="00653FB8"/>
    <w:rsid w:val="00662130"/>
    <w:rsid w:val="006A10A2"/>
    <w:rsid w:val="006A6FCA"/>
    <w:rsid w:val="006B437C"/>
    <w:rsid w:val="006B494E"/>
    <w:rsid w:val="006B6587"/>
    <w:rsid w:val="006C1C15"/>
    <w:rsid w:val="006C5D2E"/>
    <w:rsid w:val="006C77FE"/>
    <w:rsid w:val="006D6DBA"/>
    <w:rsid w:val="006F6F71"/>
    <w:rsid w:val="006F75AF"/>
    <w:rsid w:val="00704131"/>
    <w:rsid w:val="00715832"/>
    <w:rsid w:val="00724276"/>
    <w:rsid w:val="00726231"/>
    <w:rsid w:val="0073085B"/>
    <w:rsid w:val="007330B8"/>
    <w:rsid w:val="00746C73"/>
    <w:rsid w:val="00753E5E"/>
    <w:rsid w:val="00763D11"/>
    <w:rsid w:val="00765B01"/>
    <w:rsid w:val="00773F56"/>
    <w:rsid w:val="007930BE"/>
    <w:rsid w:val="00797B1F"/>
    <w:rsid w:val="007A7C50"/>
    <w:rsid w:val="007C7223"/>
    <w:rsid w:val="007D0375"/>
    <w:rsid w:val="007F224F"/>
    <w:rsid w:val="007F56B8"/>
    <w:rsid w:val="0081402F"/>
    <w:rsid w:val="008179C4"/>
    <w:rsid w:val="00820FDC"/>
    <w:rsid w:val="00832395"/>
    <w:rsid w:val="00835582"/>
    <w:rsid w:val="00836CD6"/>
    <w:rsid w:val="008443CF"/>
    <w:rsid w:val="008575FA"/>
    <w:rsid w:val="0086497B"/>
    <w:rsid w:val="00867D61"/>
    <w:rsid w:val="008725C6"/>
    <w:rsid w:val="008A0CD3"/>
    <w:rsid w:val="008A1995"/>
    <w:rsid w:val="008A6814"/>
    <w:rsid w:val="008A75DB"/>
    <w:rsid w:val="008C24F9"/>
    <w:rsid w:val="008E0FD6"/>
    <w:rsid w:val="008F316E"/>
    <w:rsid w:val="008F5A6A"/>
    <w:rsid w:val="00903C91"/>
    <w:rsid w:val="009071B9"/>
    <w:rsid w:val="00912937"/>
    <w:rsid w:val="009213FD"/>
    <w:rsid w:val="009279E0"/>
    <w:rsid w:val="0093443D"/>
    <w:rsid w:val="00942080"/>
    <w:rsid w:val="00946DA8"/>
    <w:rsid w:val="00961F09"/>
    <w:rsid w:val="00966116"/>
    <w:rsid w:val="009708B0"/>
    <w:rsid w:val="00971424"/>
    <w:rsid w:val="009869BC"/>
    <w:rsid w:val="0099643F"/>
    <w:rsid w:val="009C1D06"/>
    <w:rsid w:val="009D02E8"/>
    <w:rsid w:val="009D299E"/>
    <w:rsid w:val="009D6A35"/>
    <w:rsid w:val="009F3C91"/>
    <w:rsid w:val="009F4678"/>
    <w:rsid w:val="009F6354"/>
    <w:rsid w:val="00A10B37"/>
    <w:rsid w:val="00A135AF"/>
    <w:rsid w:val="00A14AD0"/>
    <w:rsid w:val="00A22582"/>
    <w:rsid w:val="00A27622"/>
    <w:rsid w:val="00A35241"/>
    <w:rsid w:val="00A413E9"/>
    <w:rsid w:val="00A4339C"/>
    <w:rsid w:val="00A45166"/>
    <w:rsid w:val="00A57AF3"/>
    <w:rsid w:val="00A629E8"/>
    <w:rsid w:val="00A664B0"/>
    <w:rsid w:val="00A70CB9"/>
    <w:rsid w:val="00A73A3A"/>
    <w:rsid w:val="00AA5B13"/>
    <w:rsid w:val="00AA6A7F"/>
    <w:rsid w:val="00AB6373"/>
    <w:rsid w:val="00AC0744"/>
    <w:rsid w:val="00AC3FC5"/>
    <w:rsid w:val="00AD1D61"/>
    <w:rsid w:val="00AE0860"/>
    <w:rsid w:val="00AE1ABA"/>
    <w:rsid w:val="00AF2E47"/>
    <w:rsid w:val="00B033C3"/>
    <w:rsid w:val="00B04B34"/>
    <w:rsid w:val="00B13C3F"/>
    <w:rsid w:val="00B31B78"/>
    <w:rsid w:val="00B31ED2"/>
    <w:rsid w:val="00B46871"/>
    <w:rsid w:val="00B54130"/>
    <w:rsid w:val="00B577DB"/>
    <w:rsid w:val="00B634D0"/>
    <w:rsid w:val="00B6398B"/>
    <w:rsid w:val="00B639AB"/>
    <w:rsid w:val="00B75763"/>
    <w:rsid w:val="00B81E1B"/>
    <w:rsid w:val="00B84F23"/>
    <w:rsid w:val="00B86742"/>
    <w:rsid w:val="00B91035"/>
    <w:rsid w:val="00B948D2"/>
    <w:rsid w:val="00BA1E06"/>
    <w:rsid w:val="00BA521F"/>
    <w:rsid w:val="00BA7DD1"/>
    <w:rsid w:val="00BB4E19"/>
    <w:rsid w:val="00BC3049"/>
    <w:rsid w:val="00BD5EAF"/>
    <w:rsid w:val="00BE0D36"/>
    <w:rsid w:val="00BE758D"/>
    <w:rsid w:val="00BF2DAF"/>
    <w:rsid w:val="00C005BF"/>
    <w:rsid w:val="00C02B24"/>
    <w:rsid w:val="00C1160C"/>
    <w:rsid w:val="00C25C3B"/>
    <w:rsid w:val="00C369FB"/>
    <w:rsid w:val="00C43AD5"/>
    <w:rsid w:val="00C46F04"/>
    <w:rsid w:val="00C66EE0"/>
    <w:rsid w:val="00C810E5"/>
    <w:rsid w:val="00CB143E"/>
    <w:rsid w:val="00CB6353"/>
    <w:rsid w:val="00CB6A62"/>
    <w:rsid w:val="00CC3957"/>
    <w:rsid w:val="00CC47B0"/>
    <w:rsid w:val="00CC6BF9"/>
    <w:rsid w:val="00CD2F4A"/>
    <w:rsid w:val="00CE387D"/>
    <w:rsid w:val="00CE5136"/>
    <w:rsid w:val="00D00214"/>
    <w:rsid w:val="00D01402"/>
    <w:rsid w:val="00D04CAE"/>
    <w:rsid w:val="00D103E1"/>
    <w:rsid w:val="00D27064"/>
    <w:rsid w:val="00D41D66"/>
    <w:rsid w:val="00D52992"/>
    <w:rsid w:val="00D7054D"/>
    <w:rsid w:val="00D77307"/>
    <w:rsid w:val="00D849C5"/>
    <w:rsid w:val="00D86EEA"/>
    <w:rsid w:val="00D93457"/>
    <w:rsid w:val="00D96619"/>
    <w:rsid w:val="00DA7C99"/>
    <w:rsid w:val="00DD2AEA"/>
    <w:rsid w:val="00DE33BF"/>
    <w:rsid w:val="00E10A8E"/>
    <w:rsid w:val="00E136A9"/>
    <w:rsid w:val="00E42211"/>
    <w:rsid w:val="00E506BA"/>
    <w:rsid w:val="00E56D76"/>
    <w:rsid w:val="00E57872"/>
    <w:rsid w:val="00E6271C"/>
    <w:rsid w:val="00E654E0"/>
    <w:rsid w:val="00E71637"/>
    <w:rsid w:val="00E85747"/>
    <w:rsid w:val="00EA0C9D"/>
    <w:rsid w:val="00EA1C15"/>
    <w:rsid w:val="00EA734C"/>
    <w:rsid w:val="00EB499B"/>
    <w:rsid w:val="00EC09F3"/>
    <w:rsid w:val="00EC34A1"/>
    <w:rsid w:val="00EC76DF"/>
    <w:rsid w:val="00ED01A4"/>
    <w:rsid w:val="00ED343C"/>
    <w:rsid w:val="00ED3AFA"/>
    <w:rsid w:val="00EE5CC7"/>
    <w:rsid w:val="00EF56B3"/>
    <w:rsid w:val="00F079A0"/>
    <w:rsid w:val="00F10AED"/>
    <w:rsid w:val="00F17DB2"/>
    <w:rsid w:val="00F217D3"/>
    <w:rsid w:val="00F234F1"/>
    <w:rsid w:val="00F23AD7"/>
    <w:rsid w:val="00F36F38"/>
    <w:rsid w:val="00F41407"/>
    <w:rsid w:val="00F43388"/>
    <w:rsid w:val="00F444EC"/>
    <w:rsid w:val="00F471B6"/>
    <w:rsid w:val="00F52F9F"/>
    <w:rsid w:val="00F54575"/>
    <w:rsid w:val="00F67DA3"/>
    <w:rsid w:val="00F70EC3"/>
    <w:rsid w:val="00F75ABA"/>
    <w:rsid w:val="00F81BC8"/>
    <w:rsid w:val="00F836F8"/>
    <w:rsid w:val="00F84FEC"/>
    <w:rsid w:val="00F95C1E"/>
    <w:rsid w:val="00F96FAE"/>
    <w:rsid w:val="00FA421B"/>
    <w:rsid w:val="00FA4EFF"/>
    <w:rsid w:val="00FA62AA"/>
    <w:rsid w:val="00FA6521"/>
    <w:rsid w:val="00FB6553"/>
    <w:rsid w:val="00FC1373"/>
    <w:rsid w:val="00FC4088"/>
    <w:rsid w:val="00FC45B0"/>
    <w:rsid w:val="00FF0C21"/>
    <w:rsid w:val="00FF3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EC03F5-0AD0-4AAC-BE65-14006D7F9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CAE"/>
    <w:rPr>
      <w:lang w:val="lv-LV"/>
    </w:rPr>
  </w:style>
  <w:style w:type="paragraph" w:styleId="Heading3">
    <w:name w:val="heading 3"/>
    <w:basedOn w:val="Normal"/>
    <w:link w:val="Heading3Char"/>
    <w:uiPriority w:val="9"/>
    <w:qFormat/>
    <w:rsid w:val="0073085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91293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085B"/>
    <w:rPr>
      <w:rFonts w:ascii="Times New Roman" w:eastAsia="Times New Roman" w:hAnsi="Times New Roman" w:cs="Times New Roman"/>
      <w:b/>
      <w:bCs/>
      <w:sz w:val="27"/>
      <w:szCs w:val="27"/>
    </w:rPr>
  </w:style>
  <w:style w:type="paragraph" w:styleId="NormalWeb">
    <w:name w:val="Normal (Web)"/>
    <w:basedOn w:val="Normal"/>
    <w:uiPriority w:val="99"/>
    <w:unhideWhenUsed/>
    <w:rsid w:val="007308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wn">
    <w:name w:val="fwn"/>
    <w:basedOn w:val="DefaultParagraphFont"/>
    <w:rsid w:val="00590F71"/>
  </w:style>
  <w:style w:type="character" w:styleId="Hyperlink">
    <w:name w:val="Hyperlink"/>
    <w:basedOn w:val="DefaultParagraphFont"/>
    <w:uiPriority w:val="99"/>
    <w:unhideWhenUsed/>
    <w:rsid w:val="00590F71"/>
    <w:rPr>
      <w:color w:val="0000FF"/>
      <w:u w:val="single"/>
    </w:rPr>
  </w:style>
  <w:style w:type="paragraph" w:styleId="Header">
    <w:name w:val="header"/>
    <w:basedOn w:val="Normal"/>
    <w:link w:val="HeaderChar"/>
    <w:uiPriority w:val="99"/>
    <w:unhideWhenUsed/>
    <w:rsid w:val="00EF56B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F56B3"/>
    <w:rPr>
      <w:lang w:val="lv-LV"/>
    </w:rPr>
  </w:style>
  <w:style w:type="paragraph" w:styleId="Footer">
    <w:name w:val="footer"/>
    <w:basedOn w:val="Normal"/>
    <w:link w:val="FooterChar"/>
    <w:uiPriority w:val="99"/>
    <w:unhideWhenUsed/>
    <w:rsid w:val="00EF56B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F56B3"/>
    <w:rPr>
      <w:lang w:val="lv-LV"/>
    </w:rPr>
  </w:style>
  <w:style w:type="paragraph" w:customStyle="1" w:styleId="naisf">
    <w:name w:val="naisf"/>
    <w:basedOn w:val="Normal"/>
    <w:uiPriority w:val="99"/>
    <w:rsid w:val="00832395"/>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24E17"/>
  </w:style>
  <w:style w:type="table" w:styleId="TableGrid">
    <w:name w:val="Table Grid"/>
    <w:basedOn w:val="TableNormal"/>
    <w:uiPriority w:val="59"/>
    <w:rsid w:val="00946DA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622"/>
    <w:pPr>
      <w:ind w:left="720"/>
      <w:contextualSpacing/>
    </w:pPr>
  </w:style>
  <w:style w:type="paragraph" w:customStyle="1" w:styleId="tvhtml">
    <w:name w:val="tv_html"/>
    <w:basedOn w:val="Normal"/>
    <w:rsid w:val="00C1160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C1160C"/>
    <w:rPr>
      <w:sz w:val="16"/>
      <w:szCs w:val="16"/>
    </w:rPr>
  </w:style>
  <w:style w:type="paragraph" w:styleId="CommentText">
    <w:name w:val="annotation text"/>
    <w:basedOn w:val="Normal"/>
    <w:link w:val="CommentTextChar"/>
    <w:uiPriority w:val="99"/>
    <w:semiHidden/>
    <w:unhideWhenUsed/>
    <w:rsid w:val="00C1160C"/>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C1160C"/>
    <w:rPr>
      <w:sz w:val="20"/>
      <w:szCs w:val="20"/>
      <w:lang w:val="lv-LV"/>
    </w:rPr>
  </w:style>
  <w:style w:type="paragraph" w:styleId="BalloonText">
    <w:name w:val="Balloon Text"/>
    <w:basedOn w:val="Normal"/>
    <w:link w:val="BalloonTextChar"/>
    <w:uiPriority w:val="99"/>
    <w:semiHidden/>
    <w:unhideWhenUsed/>
    <w:rsid w:val="00C116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60C"/>
    <w:rPr>
      <w:rFonts w:ascii="Segoe UI" w:hAnsi="Segoe UI" w:cs="Segoe UI"/>
      <w:sz w:val="18"/>
      <w:szCs w:val="18"/>
      <w:lang w:val="lv-LV"/>
    </w:rPr>
  </w:style>
  <w:style w:type="character" w:customStyle="1" w:styleId="Heading4Char">
    <w:name w:val="Heading 4 Char"/>
    <w:basedOn w:val="DefaultParagraphFont"/>
    <w:link w:val="Heading4"/>
    <w:uiPriority w:val="9"/>
    <w:semiHidden/>
    <w:rsid w:val="00912937"/>
    <w:rPr>
      <w:rFonts w:asciiTheme="majorHAnsi" w:eastAsiaTheme="majorEastAsia" w:hAnsiTheme="majorHAnsi" w:cstheme="majorBidi"/>
      <w:i/>
      <w:iCs/>
      <w:color w:val="365F91" w:themeColor="accent1" w:themeShade="BF"/>
      <w:lang w:val="lv-LV"/>
    </w:rPr>
  </w:style>
  <w:style w:type="paragraph" w:customStyle="1" w:styleId="tv213">
    <w:name w:val="tv213"/>
    <w:basedOn w:val="Normal"/>
    <w:rsid w:val="00DE33B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E654E0"/>
    <w:pPr>
      <w:spacing w:after="200"/>
    </w:pPr>
    <w:rPr>
      <w:b/>
      <w:bCs/>
    </w:rPr>
  </w:style>
  <w:style w:type="character" w:customStyle="1" w:styleId="CommentSubjectChar">
    <w:name w:val="Comment Subject Char"/>
    <w:basedOn w:val="CommentTextChar"/>
    <w:link w:val="CommentSubject"/>
    <w:uiPriority w:val="99"/>
    <w:semiHidden/>
    <w:rsid w:val="00E654E0"/>
    <w:rPr>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610396">
      <w:bodyDiv w:val="1"/>
      <w:marLeft w:val="0"/>
      <w:marRight w:val="0"/>
      <w:marTop w:val="0"/>
      <w:marBottom w:val="0"/>
      <w:divBdr>
        <w:top w:val="none" w:sz="0" w:space="0" w:color="auto"/>
        <w:left w:val="none" w:sz="0" w:space="0" w:color="auto"/>
        <w:bottom w:val="none" w:sz="0" w:space="0" w:color="auto"/>
        <w:right w:val="none" w:sz="0" w:space="0" w:color="auto"/>
      </w:divBdr>
    </w:div>
    <w:div w:id="1376806033">
      <w:bodyDiv w:val="1"/>
      <w:marLeft w:val="0"/>
      <w:marRight w:val="0"/>
      <w:marTop w:val="0"/>
      <w:marBottom w:val="0"/>
      <w:divBdr>
        <w:top w:val="none" w:sz="0" w:space="0" w:color="auto"/>
        <w:left w:val="none" w:sz="0" w:space="0" w:color="auto"/>
        <w:bottom w:val="none" w:sz="0" w:space="0" w:color="auto"/>
        <w:right w:val="none" w:sz="0" w:space="0" w:color="auto"/>
      </w:divBdr>
      <w:divsChild>
        <w:div w:id="1456948279">
          <w:marLeft w:val="0"/>
          <w:marRight w:val="0"/>
          <w:marTop w:val="0"/>
          <w:marBottom w:val="0"/>
          <w:divBdr>
            <w:top w:val="none" w:sz="0" w:space="0" w:color="auto"/>
            <w:left w:val="none" w:sz="0" w:space="0" w:color="auto"/>
            <w:bottom w:val="none" w:sz="0" w:space="0" w:color="auto"/>
            <w:right w:val="none" w:sz="0" w:space="0" w:color="auto"/>
          </w:divBdr>
        </w:div>
        <w:div w:id="341932159">
          <w:marLeft w:val="0"/>
          <w:marRight w:val="0"/>
          <w:marTop w:val="0"/>
          <w:marBottom w:val="0"/>
          <w:divBdr>
            <w:top w:val="none" w:sz="0" w:space="0" w:color="auto"/>
            <w:left w:val="none" w:sz="0" w:space="0" w:color="auto"/>
            <w:bottom w:val="none" w:sz="0" w:space="0" w:color="auto"/>
            <w:right w:val="none" w:sz="0" w:space="0" w:color="auto"/>
          </w:divBdr>
        </w:div>
        <w:div w:id="101649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e.purina@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ur-lex.europa.eu/eli/dir/2008/98?locale=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3054</Words>
  <Characters>1742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2011.gada 26.aprīļa noteikumos Nr.319 „Noteikumi par atkritumu reģenerācijas un apglabāšanas veidiem””</vt:lpstr>
    </vt:vector>
  </TitlesOfParts>
  <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2011.gada 26.aprīļa noteikumos Nr.319 „Noteikumi par atkritumu reģenerācijas un apglabāšanas veidiem””</dc:title>
  <dc:subject>Noteikumu projekts</dc:subject>
  <dc:creator>Kristine.Purina@varam.gov.lv</dc:creator>
  <dc:description>67026461, kristine.purina@varam.gov.lv</dc:description>
  <cp:lastModifiedBy>Kristīne Puriņa</cp:lastModifiedBy>
  <cp:revision>6</cp:revision>
  <cp:lastPrinted>2015-10-02T08:12:00Z</cp:lastPrinted>
  <dcterms:created xsi:type="dcterms:W3CDTF">2015-10-19T06:32:00Z</dcterms:created>
  <dcterms:modified xsi:type="dcterms:W3CDTF">2015-10-19T08:00:00Z</dcterms:modified>
</cp:coreProperties>
</file>