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17F4" w:rsidRPr="000B51FF" w:rsidRDefault="009717F4" w:rsidP="001E770E">
      <w:pPr>
        <w:pStyle w:val="NoSpacing"/>
        <w:jc w:val="center"/>
        <w:rPr>
          <w:rFonts w:ascii="Times New Roman" w:hAnsi="Times New Roman" w:cs="Times New Roman"/>
          <w:b/>
          <w:color w:val="000000" w:themeColor="text1"/>
          <w:sz w:val="28"/>
          <w:szCs w:val="28"/>
        </w:rPr>
      </w:pPr>
      <w:bookmarkStart w:id="0" w:name="_GoBack"/>
      <w:bookmarkEnd w:id="0"/>
      <w:r w:rsidRPr="000B51FF">
        <w:rPr>
          <w:rFonts w:ascii="Times New Roman" w:hAnsi="Times New Roman" w:cs="Times New Roman"/>
          <w:b/>
          <w:color w:val="000000" w:themeColor="text1"/>
          <w:sz w:val="28"/>
          <w:szCs w:val="28"/>
        </w:rPr>
        <w:t>Ministru kabineta noteikumu projekta „</w:t>
      </w:r>
      <w:r w:rsidR="001E770E" w:rsidRPr="000B51FF">
        <w:rPr>
          <w:rFonts w:ascii="Times New Roman" w:hAnsi="Times New Roman" w:cs="Times New Roman"/>
          <w:b/>
          <w:color w:val="000000" w:themeColor="text1"/>
          <w:sz w:val="28"/>
          <w:szCs w:val="28"/>
        </w:rPr>
        <w:t xml:space="preserve"> Grozījumi Ministru kabineta </w:t>
      </w:r>
      <w:proofErr w:type="gramStart"/>
      <w:r w:rsidR="001E770E" w:rsidRPr="000B51FF">
        <w:rPr>
          <w:rFonts w:ascii="Times New Roman" w:hAnsi="Times New Roman" w:cs="Times New Roman"/>
          <w:b/>
          <w:color w:val="000000" w:themeColor="text1"/>
          <w:sz w:val="28"/>
          <w:szCs w:val="28"/>
        </w:rPr>
        <w:t>2013.gada</w:t>
      </w:r>
      <w:proofErr w:type="gramEnd"/>
      <w:r w:rsidR="001E770E" w:rsidRPr="000B51FF">
        <w:rPr>
          <w:rFonts w:ascii="Times New Roman" w:hAnsi="Times New Roman" w:cs="Times New Roman"/>
          <w:b/>
          <w:color w:val="000000" w:themeColor="text1"/>
          <w:sz w:val="28"/>
          <w:szCs w:val="28"/>
        </w:rPr>
        <w:t xml:space="preserve"> 30.aprīļa noteikumos Nr.240 “</w:t>
      </w:r>
      <w:r w:rsidR="001E770E" w:rsidRPr="000B51FF">
        <w:rPr>
          <w:rFonts w:ascii="Times New Roman" w:hAnsi="Times New Roman" w:cs="Times New Roman"/>
          <w:b/>
          <w:bCs/>
          <w:color w:val="000000" w:themeColor="text1"/>
          <w:sz w:val="28"/>
          <w:szCs w:val="28"/>
        </w:rPr>
        <w:t>Vispārīgie teritorijas plānošanas un izmantošanas noteikumi</w:t>
      </w:r>
      <w:r w:rsidRPr="000B51FF">
        <w:rPr>
          <w:rFonts w:ascii="Times New Roman" w:hAnsi="Times New Roman" w:cs="Times New Roman"/>
          <w:b/>
          <w:color w:val="000000" w:themeColor="text1"/>
          <w:sz w:val="28"/>
          <w:szCs w:val="28"/>
        </w:rPr>
        <w:t>”” sākotnējās ietekmes novērtējuma ziņojums (anotācija)</w:t>
      </w:r>
    </w:p>
    <w:p w:rsidR="009717F4" w:rsidRPr="000B51FF" w:rsidRDefault="009717F4" w:rsidP="009717F4">
      <w:pPr>
        <w:pStyle w:val="naislab"/>
        <w:spacing w:before="0" w:after="0"/>
        <w:jc w:val="center"/>
        <w:outlineLvl w:val="0"/>
        <w:rPr>
          <w:b/>
          <w:color w:val="000000" w:themeColor="text1"/>
          <w:sz w:val="28"/>
          <w:szCs w:val="28"/>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20" w:type="dxa"/>
          <w:left w:w="20" w:type="dxa"/>
          <w:bottom w:w="20" w:type="dxa"/>
          <w:right w:w="20" w:type="dxa"/>
        </w:tblCellMar>
        <w:tblLook w:val="04A0" w:firstRow="1" w:lastRow="0" w:firstColumn="1" w:lastColumn="0" w:noHBand="0" w:noVBand="1"/>
      </w:tblPr>
      <w:tblGrid>
        <w:gridCol w:w="501"/>
        <w:gridCol w:w="2869"/>
        <w:gridCol w:w="5968"/>
      </w:tblGrid>
      <w:tr w:rsidR="00C429E2" w:rsidRPr="000B51FF" w:rsidTr="00F968AE">
        <w:trPr>
          <w:trHeight w:val="270"/>
          <w:tblCellSpacing w:w="15" w:type="dxa"/>
        </w:trPr>
        <w:tc>
          <w:tcPr>
            <w:tcW w:w="4968" w:type="pct"/>
            <w:gridSpan w:val="3"/>
            <w:tcBorders>
              <w:top w:val="outset" w:sz="6" w:space="0" w:color="auto"/>
              <w:left w:val="outset" w:sz="6" w:space="0" w:color="auto"/>
              <w:bottom w:val="outset" w:sz="6" w:space="0" w:color="auto"/>
              <w:right w:val="outset" w:sz="6" w:space="0" w:color="auto"/>
            </w:tcBorders>
            <w:vAlign w:val="center"/>
            <w:hideMark/>
          </w:tcPr>
          <w:p w:rsidR="009717F4" w:rsidRPr="000B51FF" w:rsidRDefault="009717F4" w:rsidP="00541E3B">
            <w:pPr>
              <w:spacing w:after="0" w:line="240" w:lineRule="auto"/>
              <w:ind w:left="57" w:right="57"/>
              <w:jc w:val="center"/>
              <w:rPr>
                <w:rFonts w:ascii="Times New Roman" w:eastAsia="Times New Roman" w:hAnsi="Times New Roman" w:cs="Times New Roman"/>
                <w:b/>
                <w:bCs/>
                <w:color w:val="000000" w:themeColor="text1"/>
                <w:sz w:val="24"/>
                <w:szCs w:val="24"/>
                <w:lang w:eastAsia="lv-LV"/>
              </w:rPr>
            </w:pPr>
            <w:r w:rsidRPr="000B51FF">
              <w:rPr>
                <w:rFonts w:ascii="Times New Roman" w:eastAsia="Times New Roman" w:hAnsi="Times New Roman" w:cs="Times New Roman"/>
                <w:b/>
                <w:bCs/>
                <w:color w:val="000000" w:themeColor="text1"/>
                <w:sz w:val="24"/>
                <w:szCs w:val="24"/>
                <w:lang w:eastAsia="lv-LV"/>
              </w:rPr>
              <w:t>I. Tiesību akta projekta izstrādes nepieciešamība</w:t>
            </w:r>
          </w:p>
        </w:tc>
      </w:tr>
      <w:tr w:rsidR="00C429E2" w:rsidRPr="000B51FF" w:rsidTr="00F968AE">
        <w:trPr>
          <w:trHeight w:val="270"/>
          <w:tblCellSpacing w:w="15" w:type="dxa"/>
        </w:trPr>
        <w:tc>
          <w:tcPr>
            <w:tcW w:w="246" w:type="pct"/>
            <w:tcBorders>
              <w:top w:val="outset" w:sz="6" w:space="0" w:color="auto"/>
              <w:left w:val="outset" w:sz="6" w:space="0" w:color="auto"/>
              <w:bottom w:val="outset" w:sz="6" w:space="0" w:color="auto"/>
              <w:right w:val="outset" w:sz="6" w:space="0" w:color="auto"/>
            </w:tcBorders>
            <w:shd w:val="clear" w:color="auto" w:fill="auto"/>
            <w:hideMark/>
          </w:tcPr>
          <w:p w:rsidR="009717F4" w:rsidRPr="000B51FF" w:rsidRDefault="009717F4" w:rsidP="00541E3B">
            <w:pPr>
              <w:spacing w:after="0" w:line="240" w:lineRule="auto"/>
              <w:ind w:left="57" w:right="57"/>
              <w:jc w:val="center"/>
              <w:rPr>
                <w:rFonts w:ascii="Times New Roman" w:eastAsia="Times New Roman" w:hAnsi="Times New Roman" w:cs="Times New Roman"/>
                <w:color w:val="000000" w:themeColor="text1"/>
                <w:sz w:val="24"/>
                <w:szCs w:val="24"/>
                <w:lang w:eastAsia="lv-LV"/>
              </w:rPr>
            </w:pPr>
            <w:r w:rsidRPr="000B51FF">
              <w:rPr>
                <w:rFonts w:ascii="Times New Roman" w:eastAsia="Times New Roman" w:hAnsi="Times New Roman" w:cs="Times New Roman"/>
                <w:color w:val="000000" w:themeColor="text1"/>
                <w:sz w:val="24"/>
                <w:szCs w:val="24"/>
                <w:lang w:eastAsia="lv-LV"/>
              </w:rPr>
              <w:t>1.</w:t>
            </w:r>
          </w:p>
        </w:tc>
        <w:tc>
          <w:tcPr>
            <w:tcW w:w="1530" w:type="pct"/>
            <w:tcBorders>
              <w:top w:val="outset" w:sz="6" w:space="0" w:color="auto"/>
              <w:left w:val="outset" w:sz="6" w:space="0" w:color="auto"/>
              <w:bottom w:val="outset" w:sz="6" w:space="0" w:color="auto"/>
              <w:right w:val="outset" w:sz="6" w:space="0" w:color="auto"/>
            </w:tcBorders>
            <w:shd w:val="clear" w:color="auto" w:fill="auto"/>
            <w:hideMark/>
          </w:tcPr>
          <w:p w:rsidR="009717F4" w:rsidRPr="000B51FF" w:rsidRDefault="009717F4" w:rsidP="00541E3B">
            <w:pPr>
              <w:spacing w:after="0" w:line="240" w:lineRule="auto"/>
              <w:ind w:left="57" w:right="57"/>
              <w:rPr>
                <w:rFonts w:ascii="Times New Roman" w:eastAsia="Times New Roman" w:hAnsi="Times New Roman" w:cs="Times New Roman"/>
                <w:color w:val="000000" w:themeColor="text1"/>
                <w:sz w:val="24"/>
                <w:szCs w:val="24"/>
                <w:lang w:eastAsia="lv-LV"/>
              </w:rPr>
            </w:pPr>
            <w:r w:rsidRPr="000B51FF">
              <w:rPr>
                <w:rFonts w:ascii="Times New Roman" w:eastAsia="Times New Roman" w:hAnsi="Times New Roman" w:cs="Times New Roman"/>
                <w:color w:val="000000" w:themeColor="text1"/>
                <w:sz w:val="24"/>
                <w:szCs w:val="24"/>
                <w:lang w:eastAsia="lv-LV"/>
              </w:rPr>
              <w:t>Pamatojums</w:t>
            </w:r>
          </w:p>
        </w:tc>
        <w:tc>
          <w:tcPr>
            <w:tcW w:w="3160" w:type="pct"/>
            <w:tcBorders>
              <w:top w:val="outset" w:sz="6" w:space="0" w:color="auto"/>
              <w:left w:val="outset" w:sz="6" w:space="0" w:color="auto"/>
              <w:bottom w:val="outset" w:sz="6" w:space="0" w:color="auto"/>
              <w:right w:val="outset" w:sz="6" w:space="0" w:color="auto"/>
            </w:tcBorders>
            <w:shd w:val="clear" w:color="auto" w:fill="auto"/>
            <w:hideMark/>
          </w:tcPr>
          <w:p w:rsidR="001E770E" w:rsidRPr="000B51FF" w:rsidRDefault="001E770E" w:rsidP="001E770E">
            <w:pPr>
              <w:pStyle w:val="NoSpacing"/>
              <w:rPr>
                <w:rFonts w:ascii="Times New Roman" w:hAnsi="Times New Roman" w:cs="Times New Roman"/>
                <w:color w:val="000000" w:themeColor="text1"/>
                <w:sz w:val="24"/>
                <w:szCs w:val="24"/>
              </w:rPr>
            </w:pPr>
            <w:r w:rsidRPr="000B51FF">
              <w:rPr>
                <w:rFonts w:ascii="Times New Roman" w:hAnsi="Times New Roman" w:cs="Times New Roman"/>
                <w:color w:val="000000" w:themeColor="text1"/>
                <w:sz w:val="24"/>
                <w:szCs w:val="24"/>
              </w:rPr>
              <w:t xml:space="preserve">Teritorijas attīstības plānošanas likuma </w:t>
            </w:r>
            <w:proofErr w:type="gramStart"/>
            <w:r w:rsidRPr="000B51FF">
              <w:rPr>
                <w:rFonts w:ascii="Times New Roman" w:hAnsi="Times New Roman" w:cs="Times New Roman"/>
                <w:color w:val="000000" w:themeColor="text1"/>
                <w:sz w:val="24"/>
                <w:szCs w:val="24"/>
              </w:rPr>
              <w:t>7.panta</w:t>
            </w:r>
            <w:proofErr w:type="gramEnd"/>
            <w:r w:rsidRPr="000B51FF">
              <w:rPr>
                <w:rFonts w:ascii="Times New Roman" w:hAnsi="Times New Roman" w:cs="Times New Roman"/>
                <w:color w:val="000000" w:themeColor="text1"/>
                <w:sz w:val="24"/>
                <w:szCs w:val="24"/>
              </w:rPr>
              <w:t xml:space="preserve"> pirmās daļas 6. un 7.punkts</w:t>
            </w:r>
          </w:p>
          <w:p w:rsidR="009717F4" w:rsidRPr="000B51FF" w:rsidRDefault="009717F4" w:rsidP="001E770E">
            <w:pPr>
              <w:pStyle w:val="NoSpacing"/>
              <w:rPr>
                <w:rFonts w:ascii="Times New Roman" w:eastAsia="Times New Roman" w:hAnsi="Times New Roman" w:cs="Times New Roman"/>
                <w:color w:val="000000" w:themeColor="text1"/>
                <w:sz w:val="24"/>
                <w:szCs w:val="24"/>
                <w:lang w:eastAsia="lv-LV"/>
              </w:rPr>
            </w:pPr>
          </w:p>
        </w:tc>
      </w:tr>
      <w:tr w:rsidR="00C429E2" w:rsidRPr="000B51FF" w:rsidTr="00F968AE">
        <w:trPr>
          <w:trHeight w:val="310"/>
          <w:tblCellSpacing w:w="15" w:type="dxa"/>
        </w:trPr>
        <w:tc>
          <w:tcPr>
            <w:tcW w:w="246" w:type="pct"/>
            <w:tcBorders>
              <w:top w:val="outset" w:sz="6" w:space="0" w:color="auto"/>
              <w:left w:val="outset" w:sz="6" w:space="0" w:color="auto"/>
              <w:bottom w:val="outset" w:sz="6" w:space="0" w:color="auto"/>
              <w:right w:val="outset" w:sz="6" w:space="0" w:color="auto"/>
            </w:tcBorders>
            <w:hideMark/>
          </w:tcPr>
          <w:p w:rsidR="009717F4" w:rsidRPr="000B51FF" w:rsidRDefault="009717F4" w:rsidP="00541E3B">
            <w:pPr>
              <w:spacing w:after="0" w:line="240" w:lineRule="auto"/>
              <w:ind w:left="57" w:right="57"/>
              <w:jc w:val="center"/>
              <w:rPr>
                <w:rFonts w:ascii="Times New Roman" w:eastAsia="Times New Roman" w:hAnsi="Times New Roman" w:cs="Times New Roman"/>
                <w:color w:val="000000" w:themeColor="text1"/>
                <w:sz w:val="24"/>
                <w:szCs w:val="24"/>
                <w:lang w:eastAsia="lv-LV"/>
              </w:rPr>
            </w:pPr>
            <w:r w:rsidRPr="000B51FF">
              <w:rPr>
                <w:rFonts w:ascii="Times New Roman" w:eastAsia="Times New Roman" w:hAnsi="Times New Roman" w:cs="Times New Roman"/>
                <w:color w:val="000000" w:themeColor="text1"/>
                <w:sz w:val="24"/>
                <w:szCs w:val="24"/>
                <w:lang w:eastAsia="lv-LV"/>
              </w:rPr>
              <w:t>2.</w:t>
            </w:r>
          </w:p>
        </w:tc>
        <w:tc>
          <w:tcPr>
            <w:tcW w:w="1530" w:type="pct"/>
            <w:tcBorders>
              <w:top w:val="outset" w:sz="6" w:space="0" w:color="auto"/>
              <w:left w:val="outset" w:sz="6" w:space="0" w:color="auto"/>
              <w:bottom w:val="outset" w:sz="6" w:space="0" w:color="auto"/>
              <w:right w:val="outset" w:sz="6" w:space="0" w:color="auto"/>
            </w:tcBorders>
            <w:hideMark/>
          </w:tcPr>
          <w:p w:rsidR="009717F4" w:rsidRPr="000B51FF" w:rsidRDefault="009717F4" w:rsidP="00541E3B">
            <w:pPr>
              <w:spacing w:after="0" w:line="240" w:lineRule="auto"/>
              <w:ind w:left="57" w:right="57"/>
              <w:rPr>
                <w:rFonts w:ascii="Times New Roman" w:eastAsia="Times New Roman" w:hAnsi="Times New Roman" w:cs="Times New Roman"/>
                <w:color w:val="000000" w:themeColor="text1"/>
                <w:sz w:val="24"/>
                <w:szCs w:val="24"/>
                <w:lang w:eastAsia="lv-LV"/>
              </w:rPr>
            </w:pPr>
            <w:r w:rsidRPr="000B51FF">
              <w:rPr>
                <w:rFonts w:ascii="Times New Roman" w:eastAsia="Times New Roman" w:hAnsi="Times New Roman" w:cs="Times New Roman"/>
                <w:color w:val="000000" w:themeColor="text1"/>
                <w:sz w:val="24"/>
                <w:szCs w:val="24"/>
                <w:lang w:eastAsia="lv-LV"/>
              </w:rPr>
              <w:t>Pašreizējā situācija un problēmas, kuru risināšanai tiesību akta projekts izstrādāts, tiesiskā regulējuma mērķis un būtība</w:t>
            </w:r>
          </w:p>
        </w:tc>
        <w:tc>
          <w:tcPr>
            <w:tcW w:w="3160" w:type="pct"/>
            <w:tcBorders>
              <w:top w:val="outset" w:sz="6" w:space="0" w:color="auto"/>
              <w:left w:val="outset" w:sz="6" w:space="0" w:color="auto"/>
              <w:bottom w:val="outset" w:sz="6" w:space="0" w:color="auto"/>
              <w:right w:val="outset" w:sz="6" w:space="0" w:color="auto"/>
            </w:tcBorders>
            <w:shd w:val="clear" w:color="auto" w:fill="auto"/>
            <w:hideMark/>
          </w:tcPr>
          <w:p w:rsidR="00762650" w:rsidRPr="000B51FF" w:rsidRDefault="00D50CF4" w:rsidP="00A12D5E">
            <w:pPr>
              <w:spacing w:after="0" w:line="240" w:lineRule="auto"/>
              <w:ind w:left="57" w:right="57"/>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   </w:t>
            </w:r>
            <w:r w:rsidR="00762650" w:rsidRPr="000B51FF">
              <w:rPr>
                <w:rFonts w:ascii="Times New Roman" w:eastAsia="Times New Roman" w:hAnsi="Times New Roman" w:cs="Times New Roman"/>
                <w:color w:val="000000" w:themeColor="text1"/>
                <w:sz w:val="24"/>
                <w:szCs w:val="24"/>
                <w:lang w:eastAsia="lv-LV"/>
              </w:rPr>
              <w:t xml:space="preserve">Pielietojot praksē Ministru kabineta </w:t>
            </w:r>
            <w:proofErr w:type="gramStart"/>
            <w:r w:rsidR="00762650" w:rsidRPr="000B51FF">
              <w:rPr>
                <w:rFonts w:ascii="Times New Roman" w:eastAsia="Times New Roman" w:hAnsi="Times New Roman" w:cs="Times New Roman"/>
                <w:color w:val="000000" w:themeColor="text1"/>
                <w:sz w:val="24"/>
                <w:szCs w:val="24"/>
                <w:lang w:eastAsia="lv-LV"/>
              </w:rPr>
              <w:t>2013.gada</w:t>
            </w:r>
            <w:proofErr w:type="gramEnd"/>
            <w:r w:rsidR="00762650" w:rsidRPr="000B51FF">
              <w:rPr>
                <w:rFonts w:ascii="Times New Roman" w:eastAsia="Times New Roman" w:hAnsi="Times New Roman" w:cs="Times New Roman"/>
                <w:color w:val="000000" w:themeColor="text1"/>
                <w:sz w:val="24"/>
                <w:szCs w:val="24"/>
                <w:lang w:eastAsia="lv-LV"/>
              </w:rPr>
              <w:t xml:space="preserve"> 30.aprīļa noteikumu Nr.240 „Vispārīgie teritorijas plānošanas un apbūves noteikumi” (turpmāk - Noteikumi) normas, ir atklājušās vairākas nepilnības esošajā regulējumā, kā arī konstatēta atsevišķu normu dažāda interpretācija. Vienlaikus konstatēts, ka Noteikumi neregulē būtiskus jautājumus, kas saistīti ar būvju izvietošanu.</w:t>
            </w:r>
          </w:p>
          <w:p w:rsidR="00762650" w:rsidRPr="000B51FF" w:rsidRDefault="00D50CF4" w:rsidP="00A12D5E">
            <w:pPr>
              <w:pStyle w:val="Default"/>
              <w:jc w:val="both"/>
              <w:rPr>
                <w:rFonts w:eastAsiaTheme="minorHAnsi"/>
                <w:color w:val="000000" w:themeColor="text1"/>
                <w:lang w:eastAsia="en-US"/>
              </w:rPr>
            </w:pPr>
            <w:r>
              <w:rPr>
                <w:color w:val="000000" w:themeColor="text1"/>
              </w:rPr>
              <w:t xml:space="preserve">    </w:t>
            </w:r>
            <w:r w:rsidR="00762650" w:rsidRPr="000B51FF">
              <w:rPr>
                <w:color w:val="000000" w:themeColor="text1"/>
              </w:rPr>
              <w:t xml:space="preserve">Tāpat ir nepieciešams saskaņot Noteikumus ar citiem normatīvajiem aktiem - Ūdenssaimniecības pakalpojumu likumu, Būvniecības likumu, kā arī Eiropas Parlamenta un Padomes </w:t>
            </w:r>
            <w:r w:rsidR="00A12D5E" w:rsidRPr="000B51FF">
              <w:rPr>
                <w:color w:val="000000" w:themeColor="text1"/>
              </w:rPr>
              <w:t>direktīvu 2012/18/ES (</w:t>
            </w:r>
            <w:proofErr w:type="gramStart"/>
            <w:r w:rsidR="00A12D5E" w:rsidRPr="000B51FF">
              <w:rPr>
                <w:color w:val="000000" w:themeColor="text1"/>
              </w:rPr>
              <w:t>2012.gada</w:t>
            </w:r>
            <w:proofErr w:type="gramEnd"/>
            <w:r w:rsidR="00A12D5E" w:rsidRPr="000B51FF">
              <w:rPr>
                <w:color w:val="000000" w:themeColor="text1"/>
              </w:rPr>
              <w:t xml:space="preserve"> 4.jūlijs)</w:t>
            </w:r>
            <w:r w:rsidR="00762650" w:rsidRPr="000B51FF">
              <w:rPr>
                <w:color w:val="000000" w:themeColor="text1"/>
              </w:rPr>
              <w:t xml:space="preserve"> </w:t>
            </w:r>
            <w:r w:rsidR="00A12D5E" w:rsidRPr="000B51FF">
              <w:rPr>
                <w:color w:val="000000" w:themeColor="text1"/>
              </w:rPr>
              <w:t>p</w:t>
            </w:r>
            <w:r w:rsidR="00762650" w:rsidRPr="000B51FF">
              <w:rPr>
                <w:color w:val="000000" w:themeColor="text1"/>
              </w:rPr>
              <w:t>ar lielu ar bīstamām vielām sai</w:t>
            </w:r>
            <w:r w:rsidR="00A12D5E" w:rsidRPr="000B51FF">
              <w:rPr>
                <w:color w:val="000000" w:themeColor="text1"/>
              </w:rPr>
              <w:t xml:space="preserve">stītu avāriju risku pārvaldību, </w:t>
            </w:r>
            <w:r w:rsidR="00A12D5E" w:rsidRPr="000B51FF">
              <w:rPr>
                <w:bCs/>
                <w:color w:val="000000" w:themeColor="text1"/>
              </w:rPr>
              <w:t>ar kuru groza un vēlāk atceļ Padomes Direktīvu 96/82/EK</w:t>
            </w:r>
            <w:r w:rsidR="00FE6803" w:rsidRPr="000B51FF">
              <w:rPr>
                <w:bCs/>
                <w:color w:val="000000" w:themeColor="text1"/>
              </w:rPr>
              <w:t xml:space="preserve"> (turpmāk – Direktīva)</w:t>
            </w:r>
            <w:r w:rsidR="00DF55C1" w:rsidRPr="000B51FF">
              <w:rPr>
                <w:bCs/>
                <w:color w:val="000000" w:themeColor="text1"/>
              </w:rPr>
              <w:t>.</w:t>
            </w:r>
          </w:p>
          <w:p w:rsidR="00762650" w:rsidRPr="000B51FF" w:rsidRDefault="00D50CF4" w:rsidP="00A12D5E">
            <w:pPr>
              <w:spacing w:after="0" w:line="240" w:lineRule="auto"/>
              <w:ind w:right="57"/>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    </w:t>
            </w:r>
            <w:r w:rsidR="00762650" w:rsidRPr="000B51FF">
              <w:rPr>
                <w:rFonts w:ascii="Times New Roman" w:eastAsia="Times New Roman" w:hAnsi="Times New Roman" w:cs="Times New Roman"/>
                <w:color w:val="000000" w:themeColor="text1"/>
                <w:sz w:val="24"/>
                <w:szCs w:val="24"/>
                <w:lang w:eastAsia="lv-LV"/>
              </w:rPr>
              <w:t>Noteikumu projektā (turpmāk – Projekts) precizētas Noteikumos konstatētās nepilnības un pretrunas.</w:t>
            </w:r>
          </w:p>
          <w:p w:rsidR="009717F4" w:rsidRPr="000B51FF" w:rsidRDefault="009717F4" w:rsidP="00541E3B">
            <w:pPr>
              <w:spacing w:after="0" w:line="240" w:lineRule="auto"/>
              <w:ind w:left="57" w:right="57"/>
              <w:jc w:val="both"/>
              <w:rPr>
                <w:rFonts w:ascii="Times New Roman" w:eastAsia="Times New Roman" w:hAnsi="Times New Roman" w:cs="Times New Roman"/>
                <w:color w:val="000000" w:themeColor="text1"/>
                <w:sz w:val="24"/>
                <w:szCs w:val="24"/>
                <w:lang w:eastAsia="lv-LV"/>
              </w:rPr>
            </w:pPr>
          </w:p>
          <w:p w:rsidR="00886F73" w:rsidRPr="000B51FF" w:rsidRDefault="009717F4" w:rsidP="00DF55C1">
            <w:pPr>
              <w:pStyle w:val="ListParagraph"/>
              <w:numPr>
                <w:ilvl w:val="0"/>
                <w:numId w:val="11"/>
              </w:numPr>
              <w:tabs>
                <w:tab w:val="left" w:pos="279"/>
              </w:tabs>
              <w:spacing w:after="0" w:line="240" w:lineRule="auto"/>
              <w:ind w:left="0" w:right="57" w:firstLine="0"/>
              <w:jc w:val="both"/>
              <w:rPr>
                <w:rFonts w:ascii="Times New Roman" w:hAnsi="Times New Roman" w:cs="Times New Roman"/>
                <w:color w:val="000000" w:themeColor="text1"/>
                <w:sz w:val="24"/>
                <w:szCs w:val="24"/>
                <w:shd w:val="clear" w:color="auto" w:fill="FFFFFF"/>
              </w:rPr>
            </w:pPr>
            <w:r w:rsidRPr="000B51FF">
              <w:rPr>
                <w:rFonts w:ascii="Times New Roman" w:eastAsia="Times New Roman" w:hAnsi="Times New Roman" w:cs="Times New Roman"/>
                <w:color w:val="000000" w:themeColor="text1"/>
                <w:sz w:val="24"/>
                <w:szCs w:val="24"/>
                <w:lang w:eastAsia="lv-LV"/>
              </w:rPr>
              <w:t>P</w:t>
            </w:r>
            <w:r w:rsidR="00886F73" w:rsidRPr="000B51FF">
              <w:rPr>
                <w:rFonts w:ascii="Times New Roman" w:eastAsia="Times New Roman" w:hAnsi="Times New Roman" w:cs="Times New Roman"/>
                <w:color w:val="000000" w:themeColor="text1"/>
                <w:sz w:val="24"/>
                <w:szCs w:val="24"/>
                <w:lang w:eastAsia="lv-LV"/>
              </w:rPr>
              <w:t>apildināti un p</w:t>
            </w:r>
            <w:r w:rsidRPr="000B51FF">
              <w:rPr>
                <w:rFonts w:ascii="Times New Roman" w:eastAsia="Times New Roman" w:hAnsi="Times New Roman" w:cs="Times New Roman"/>
                <w:color w:val="000000" w:themeColor="text1"/>
                <w:sz w:val="24"/>
                <w:szCs w:val="24"/>
                <w:lang w:eastAsia="lv-LV"/>
              </w:rPr>
              <w:t>recizēt</w:t>
            </w:r>
            <w:r w:rsidR="00886F73" w:rsidRPr="000B51FF">
              <w:rPr>
                <w:rFonts w:ascii="Times New Roman" w:eastAsia="Times New Roman" w:hAnsi="Times New Roman" w:cs="Times New Roman"/>
                <w:color w:val="000000" w:themeColor="text1"/>
                <w:sz w:val="24"/>
                <w:szCs w:val="24"/>
                <w:lang w:eastAsia="lv-LV"/>
              </w:rPr>
              <w:t>i</w:t>
            </w:r>
            <w:r w:rsidRPr="000B51FF">
              <w:rPr>
                <w:rFonts w:ascii="Times New Roman" w:eastAsia="Times New Roman" w:hAnsi="Times New Roman" w:cs="Times New Roman"/>
                <w:color w:val="000000" w:themeColor="text1"/>
                <w:sz w:val="24"/>
                <w:szCs w:val="24"/>
                <w:lang w:eastAsia="lv-LV"/>
              </w:rPr>
              <w:t xml:space="preserve"> </w:t>
            </w:r>
            <w:r w:rsidR="00762650" w:rsidRPr="000B51FF">
              <w:rPr>
                <w:rFonts w:ascii="Times New Roman" w:eastAsia="Times New Roman" w:hAnsi="Times New Roman" w:cs="Times New Roman"/>
                <w:color w:val="000000" w:themeColor="text1"/>
                <w:sz w:val="24"/>
                <w:szCs w:val="24"/>
                <w:lang w:eastAsia="lv-LV"/>
              </w:rPr>
              <w:t>Noteikumos</w:t>
            </w:r>
            <w:r w:rsidRPr="000B51FF">
              <w:rPr>
                <w:rFonts w:ascii="Times New Roman" w:eastAsia="Times New Roman" w:hAnsi="Times New Roman" w:cs="Times New Roman"/>
                <w:color w:val="000000" w:themeColor="text1"/>
                <w:sz w:val="24"/>
                <w:szCs w:val="24"/>
                <w:lang w:eastAsia="lv-LV"/>
              </w:rPr>
              <w:t xml:space="preserve"> lietot</w:t>
            </w:r>
            <w:r w:rsidR="00886F73" w:rsidRPr="000B51FF">
              <w:rPr>
                <w:rFonts w:ascii="Times New Roman" w:eastAsia="Times New Roman" w:hAnsi="Times New Roman" w:cs="Times New Roman"/>
                <w:color w:val="000000" w:themeColor="text1"/>
                <w:sz w:val="24"/>
                <w:szCs w:val="24"/>
                <w:lang w:eastAsia="lv-LV"/>
              </w:rPr>
              <w:t>ie</w:t>
            </w:r>
            <w:r w:rsidRPr="000B51FF">
              <w:rPr>
                <w:rFonts w:ascii="Times New Roman" w:eastAsia="Times New Roman" w:hAnsi="Times New Roman" w:cs="Times New Roman"/>
                <w:color w:val="000000" w:themeColor="text1"/>
                <w:sz w:val="24"/>
                <w:szCs w:val="24"/>
                <w:lang w:eastAsia="lv-LV"/>
              </w:rPr>
              <w:t xml:space="preserve"> termin</w:t>
            </w:r>
            <w:r w:rsidR="00762650" w:rsidRPr="000B51FF">
              <w:rPr>
                <w:rFonts w:ascii="Times New Roman" w:eastAsia="Times New Roman" w:hAnsi="Times New Roman" w:cs="Times New Roman"/>
                <w:color w:val="000000" w:themeColor="text1"/>
                <w:sz w:val="24"/>
                <w:szCs w:val="24"/>
                <w:lang w:eastAsia="lv-LV"/>
              </w:rPr>
              <w:t>i, piemēram</w:t>
            </w:r>
            <w:r w:rsidR="00DF55C1" w:rsidRPr="000B51FF">
              <w:rPr>
                <w:rFonts w:ascii="Times New Roman" w:eastAsia="Times New Roman" w:hAnsi="Times New Roman" w:cs="Times New Roman"/>
                <w:color w:val="000000" w:themeColor="text1"/>
                <w:sz w:val="24"/>
                <w:szCs w:val="24"/>
                <w:lang w:eastAsia="lv-LV"/>
              </w:rPr>
              <w:t>,</w:t>
            </w:r>
            <w:r w:rsidR="00762650" w:rsidRPr="000B51FF">
              <w:rPr>
                <w:rFonts w:ascii="Times New Roman" w:eastAsia="Times New Roman" w:hAnsi="Times New Roman" w:cs="Times New Roman"/>
                <w:color w:val="000000" w:themeColor="text1"/>
                <w:sz w:val="24"/>
                <w:szCs w:val="24"/>
                <w:lang w:eastAsia="lv-LV"/>
              </w:rPr>
              <w:t xml:space="preserve"> dots skaidrojums terminiem </w:t>
            </w:r>
            <w:r w:rsidR="00DF55C1" w:rsidRPr="000B51FF">
              <w:rPr>
                <w:rFonts w:ascii="Times New Roman" w:eastAsia="Times New Roman" w:hAnsi="Times New Roman" w:cs="Times New Roman"/>
                <w:color w:val="000000" w:themeColor="text1"/>
                <w:sz w:val="24"/>
                <w:szCs w:val="24"/>
                <w:lang w:eastAsia="lv-LV"/>
              </w:rPr>
              <w:t>„</w:t>
            </w:r>
            <w:r w:rsidR="00762650" w:rsidRPr="000B51FF">
              <w:rPr>
                <w:rFonts w:ascii="Times New Roman" w:eastAsia="Times New Roman" w:hAnsi="Times New Roman" w:cs="Times New Roman"/>
                <w:color w:val="000000" w:themeColor="text1"/>
                <w:sz w:val="24"/>
                <w:szCs w:val="24"/>
                <w:lang w:eastAsia="lv-LV"/>
              </w:rPr>
              <w:t>dīķis</w:t>
            </w:r>
            <w:r w:rsidR="00DF55C1" w:rsidRPr="000B51FF">
              <w:rPr>
                <w:rFonts w:ascii="Times New Roman" w:eastAsia="Times New Roman" w:hAnsi="Times New Roman" w:cs="Times New Roman"/>
                <w:color w:val="000000" w:themeColor="text1"/>
                <w:sz w:val="24"/>
                <w:szCs w:val="24"/>
                <w:lang w:eastAsia="lv-LV"/>
              </w:rPr>
              <w:t>”</w:t>
            </w:r>
            <w:r w:rsidR="00762650" w:rsidRPr="000B51FF">
              <w:rPr>
                <w:rFonts w:ascii="Times New Roman" w:eastAsia="Times New Roman" w:hAnsi="Times New Roman" w:cs="Times New Roman"/>
                <w:color w:val="000000" w:themeColor="text1"/>
                <w:sz w:val="24"/>
                <w:szCs w:val="24"/>
                <w:lang w:eastAsia="lv-LV"/>
              </w:rPr>
              <w:t xml:space="preserve"> un </w:t>
            </w:r>
            <w:r w:rsidR="00DF55C1" w:rsidRPr="000B51FF">
              <w:rPr>
                <w:rFonts w:ascii="Times New Roman" w:eastAsia="Times New Roman" w:hAnsi="Times New Roman" w:cs="Times New Roman"/>
                <w:color w:val="000000" w:themeColor="text1"/>
                <w:sz w:val="24"/>
                <w:szCs w:val="24"/>
                <w:lang w:eastAsia="lv-LV"/>
              </w:rPr>
              <w:t>„</w:t>
            </w:r>
            <w:r w:rsidR="00762650" w:rsidRPr="000B51FF">
              <w:rPr>
                <w:rFonts w:ascii="Times New Roman" w:hAnsi="Times New Roman" w:cs="Times New Roman"/>
                <w:color w:val="000000" w:themeColor="text1"/>
                <w:sz w:val="24"/>
                <w:szCs w:val="24"/>
              </w:rPr>
              <w:t>terminālis</w:t>
            </w:r>
            <w:r w:rsidR="00DF55C1" w:rsidRPr="000B51FF">
              <w:rPr>
                <w:rFonts w:ascii="Times New Roman" w:hAnsi="Times New Roman" w:cs="Times New Roman"/>
                <w:color w:val="000000" w:themeColor="text1"/>
                <w:sz w:val="24"/>
                <w:szCs w:val="24"/>
              </w:rPr>
              <w:t>”, kas līdz šim nebija skaidroti</w:t>
            </w:r>
            <w:r w:rsidR="00762650" w:rsidRPr="000B51FF">
              <w:rPr>
                <w:rFonts w:ascii="Times New Roman" w:hAnsi="Times New Roman" w:cs="Times New Roman"/>
                <w:color w:val="000000" w:themeColor="text1"/>
                <w:sz w:val="24"/>
                <w:szCs w:val="24"/>
              </w:rPr>
              <w:t xml:space="preserve"> normatīvajos aktos, kā rezultātā tie tika dažādi interpretēti.  </w:t>
            </w:r>
          </w:p>
          <w:p w:rsidR="00C429E2" w:rsidRPr="000B51FF" w:rsidRDefault="005960D2" w:rsidP="00DF55C1">
            <w:pPr>
              <w:spacing w:after="0" w:line="240" w:lineRule="auto"/>
              <w:ind w:right="57"/>
              <w:jc w:val="both"/>
              <w:rPr>
                <w:rFonts w:ascii="Times New Roman" w:hAnsi="Times New Roman" w:cs="Times New Roman"/>
                <w:color w:val="000000" w:themeColor="text1"/>
                <w:sz w:val="24"/>
                <w:szCs w:val="24"/>
              </w:rPr>
            </w:pPr>
            <w:r w:rsidRPr="000B51FF">
              <w:rPr>
                <w:rFonts w:ascii="Times New Roman" w:hAnsi="Times New Roman" w:cs="Times New Roman"/>
                <w:color w:val="000000" w:themeColor="text1"/>
                <w:sz w:val="24"/>
                <w:szCs w:val="24"/>
              </w:rPr>
              <w:t>Precizēts termin</w:t>
            </w:r>
            <w:r w:rsidR="0072404C" w:rsidRPr="000B51FF">
              <w:rPr>
                <w:rFonts w:ascii="Times New Roman" w:hAnsi="Times New Roman" w:cs="Times New Roman"/>
                <w:color w:val="000000" w:themeColor="text1"/>
                <w:sz w:val="24"/>
                <w:szCs w:val="24"/>
              </w:rPr>
              <w:t>a</w:t>
            </w:r>
            <w:r w:rsidRPr="000B51FF">
              <w:rPr>
                <w:rFonts w:ascii="Times New Roman" w:hAnsi="Times New Roman" w:cs="Times New Roman"/>
                <w:color w:val="000000" w:themeColor="text1"/>
                <w:sz w:val="24"/>
                <w:szCs w:val="24"/>
              </w:rPr>
              <w:t xml:space="preserve"> </w:t>
            </w:r>
            <w:r w:rsidR="0072404C" w:rsidRPr="000B51FF">
              <w:rPr>
                <w:rFonts w:ascii="Times New Roman" w:hAnsi="Times New Roman" w:cs="Times New Roman"/>
                <w:color w:val="000000" w:themeColor="text1"/>
                <w:sz w:val="24"/>
                <w:szCs w:val="24"/>
              </w:rPr>
              <w:t>“</w:t>
            </w:r>
            <w:r w:rsidRPr="000B51FF">
              <w:rPr>
                <w:rFonts w:ascii="Times New Roman" w:hAnsi="Times New Roman" w:cs="Times New Roman"/>
                <w:color w:val="000000" w:themeColor="text1"/>
                <w:sz w:val="24"/>
                <w:szCs w:val="24"/>
              </w:rPr>
              <w:t>publiskā ārtelpa</w:t>
            </w:r>
            <w:r w:rsidR="0072404C" w:rsidRPr="000B51FF">
              <w:rPr>
                <w:rFonts w:ascii="Times New Roman" w:hAnsi="Times New Roman" w:cs="Times New Roman"/>
                <w:color w:val="000000" w:themeColor="text1"/>
                <w:sz w:val="24"/>
                <w:szCs w:val="24"/>
              </w:rPr>
              <w:t xml:space="preserve">” skaidrojums, </w:t>
            </w:r>
            <w:r w:rsidR="00C429E2" w:rsidRPr="000B51FF">
              <w:rPr>
                <w:rFonts w:ascii="Times New Roman" w:hAnsi="Times New Roman" w:cs="Times New Roman"/>
                <w:color w:val="000000" w:themeColor="text1"/>
                <w:sz w:val="24"/>
                <w:szCs w:val="24"/>
              </w:rPr>
              <w:t xml:space="preserve">norādot, ka jēdziens </w:t>
            </w:r>
            <w:r w:rsidR="00C429E2" w:rsidRPr="000B51FF">
              <w:rPr>
                <w:rFonts w:ascii="Times New Roman" w:hAnsi="Times New Roman" w:cs="Times New Roman"/>
                <w:i/>
                <w:color w:val="000000" w:themeColor="text1"/>
                <w:sz w:val="24"/>
                <w:szCs w:val="24"/>
              </w:rPr>
              <w:t>publisks</w:t>
            </w:r>
            <w:r w:rsidR="00C429E2" w:rsidRPr="000B51FF">
              <w:rPr>
                <w:rFonts w:ascii="Times New Roman" w:hAnsi="Times New Roman" w:cs="Times New Roman"/>
                <w:color w:val="000000" w:themeColor="text1"/>
                <w:sz w:val="24"/>
                <w:szCs w:val="24"/>
              </w:rPr>
              <w:t>, var ietvert arī tādus objektus</w:t>
            </w:r>
            <w:r w:rsidR="00461757">
              <w:rPr>
                <w:rFonts w:ascii="Times New Roman" w:hAnsi="Times New Roman" w:cs="Times New Roman"/>
                <w:color w:val="000000" w:themeColor="text1"/>
                <w:sz w:val="24"/>
                <w:szCs w:val="24"/>
              </w:rPr>
              <w:t xml:space="preserve"> un teritorijas</w:t>
            </w:r>
            <w:r w:rsidR="00C429E2" w:rsidRPr="000B51FF">
              <w:rPr>
                <w:rFonts w:ascii="Times New Roman" w:hAnsi="Times New Roman" w:cs="Times New Roman"/>
                <w:color w:val="000000" w:themeColor="text1"/>
                <w:sz w:val="24"/>
                <w:szCs w:val="24"/>
              </w:rPr>
              <w:t>, kas sabiedrībai pieejami tikai daļēji. Tādi</w:t>
            </w:r>
            <w:r w:rsidR="00DF55C1" w:rsidRPr="000B51FF">
              <w:rPr>
                <w:rFonts w:ascii="Times New Roman" w:hAnsi="Times New Roman" w:cs="Times New Roman"/>
                <w:color w:val="000000" w:themeColor="text1"/>
                <w:sz w:val="24"/>
                <w:szCs w:val="24"/>
              </w:rPr>
              <w:t>,</w:t>
            </w:r>
            <w:r w:rsidR="00C429E2" w:rsidRPr="000B51FF">
              <w:rPr>
                <w:rFonts w:ascii="Times New Roman" w:hAnsi="Times New Roman" w:cs="Times New Roman"/>
                <w:color w:val="000000" w:themeColor="text1"/>
                <w:sz w:val="24"/>
                <w:szCs w:val="24"/>
              </w:rPr>
              <w:t xml:space="preserve"> piemēram</w:t>
            </w:r>
            <w:r w:rsidR="00DF55C1" w:rsidRPr="000B51FF">
              <w:rPr>
                <w:rFonts w:ascii="Times New Roman" w:hAnsi="Times New Roman" w:cs="Times New Roman"/>
                <w:color w:val="000000" w:themeColor="text1"/>
                <w:sz w:val="24"/>
                <w:szCs w:val="24"/>
              </w:rPr>
              <w:t>,</w:t>
            </w:r>
            <w:r w:rsidR="00C429E2" w:rsidRPr="000B51FF">
              <w:rPr>
                <w:rFonts w:ascii="Times New Roman" w:hAnsi="Times New Roman" w:cs="Times New Roman"/>
                <w:color w:val="000000" w:themeColor="text1"/>
                <w:sz w:val="24"/>
                <w:szCs w:val="24"/>
              </w:rPr>
              <w:t xml:space="preserve"> var būt daudzdzīvokļu māju pagalmi, kas pieejam</w:t>
            </w:r>
            <w:r w:rsidR="00762650" w:rsidRPr="000B51FF">
              <w:rPr>
                <w:rFonts w:ascii="Times New Roman" w:hAnsi="Times New Roman" w:cs="Times New Roman"/>
                <w:color w:val="000000" w:themeColor="text1"/>
                <w:sz w:val="24"/>
                <w:szCs w:val="24"/>
              </w:rPr>
              <w:t>i tikai šo māju iedzīvotājiem, vai</w:t>
            </w:r>
            <w:r w:rsidR="00C429E2" w:rsidRPr="000B51FF">
              <w:rPr>
                <w:rFonts w:ascii="Times New Roman" w:hAnsi="Times New Roman" w:cs="Times New Roman"/>
                <w:color w:val="000000" w:themeColor="text1"/>
                <w:sz w:val="24"/>
                <w:szCs w:val="24"/>
              </w:rPr>
              <w:t xml:space="preserve"> arī parki vai dārzi, kur noteikta ieejas m</w:t>
            </w:r>
            <w:r w:rsidR="00762650" w:rsidRPr="000B51FF">
              <w:rPr>
                <w:rFonts w:ascii="Times New Roman" w:hAnsi="Times New Roman" w:cs="Times New Roman"/>
                <w:color w:val="000000" w:themeColor="text1"/>
                <w:sz w:val="24"/>
                <w:szCs w:val="24"/>
              </w:rPr>
              <w:t>aksa u.tml.</w:t>
            </w:r>
            <w:r w:rsidR="00C429E2" w:rsidRPr="000B51FF">
              <w:rPr>
                <w:rFonts w:ascii="Times New Roman" w:hAnsi="Times New Roman" w:cs="Times New Roman"/>
                <w:color w:val="000000" w:themeColor="text1"/>
                <w:sz w:val="24"/>
                <w:szCs w:val="24"/>
              </w:rPr>
              <w:t xml:space="preserve"> </w:t>
            </w:r>
          </w:p>
          <w:p w:rsidR="00E163A7" w:rsidRPr="000B51FF" w:rsidRDefault="00E163A7" w:rsidP="00762650">
            <w:pPr>
              <w:pStyle w:val="NoSpacing"/>
              <w:rPr>
                <w:rFonts w:ascii="Times New Roman" w:hAnsi="Times New Roman" w:cs="Times New Roman"/>
                <w:color w:val="000000" w:themeColor="text1"/>
                <w:sz w:val="24"/>
                <w:szCs w:val="24"/>
              </w:rPr>
            </w:pPr>
          </w:p>
          <w:p w:rsidR="003E7342" w:rsidRPr="000B51FF" w:rsidRDefault="00455C29" w:rsidP="003E7342">
            <w:pPr>
              <w:pStyle w:val="ListParagraph"/>
              <w:numPr>
                <w:ilvl w:val="0"/>
                <w:numId w:val="11"/>
              </w:numPr>
              <w:tabs>
                <w:tab w:val="left" w:pos="421"/>
              </w:tabs>
              <w:spacing w:after="0" w:line="240" w:lineRule="auto"/>
              <w:ind w:left="0" w:firstLine="0"/>
              <w:jc w:val="both"/>
              <w:rPr>
                <w:rFonts w:ascii="Times New Roman" w:hAnsi="Times New Roman" w:cs="Times New Roman"/>
                <w:bCs/>
                <w:color w:val="000000" w:themeColor="text1"/>
                <w:sz w:val="24"/>
                <w:szCs w:val="24"/>
                <w:u w:val="single"/>
              </w:rPr>
            </w:pPr>
            <w:r w:rsidRPr="000B51FF">
              <w:rPr>
                <w:rFonts w:ascii="Times New Roman" w:hAnsi="Times New Roman" w:cs="Times New Roman"/>
                <w:color w:val="000000" w:themeColor="text1"/>
                <w:sz w:val="24"/>
                <w:szCs w:val="24"/>
              </w:rPr>
              <w:t xml:space="preserve">Piemērojot Noteikumu 12. punktu par gadījumiem, kad pieļaujama atkāpe no teritorijas plānojumā vai </w:t>
            </w:r>
            <w:proofErr w:type="spellStart"/>
            <w:r w:rsidRPr="000B51FF">
              <w:rPr>
                <w:rFonts w:ascii="Times New Roman" w:hAnsi="Times New Roman" w:cs="Times New Roman"/>
                <w:color w:val="000000" w:themeColor="text1"/>
                <w:sz w:val="24"/>
                <w:szCs w:val="24"/>
              </w:rPr>
              <w:t>lokālplānojumā</w:t>
            </w:r>
            <w:proofErr w:type="spellEnd"/>
            <w:r w:rsidRPr="000B51FF">
              <w:rPr>
                <w:rFonts w:ascii="Times New Roman" w:hAnsi="Times New Roman" w:cs="Times New Roman"/>
                <w:color w:val="000000" w:themeColor="text1"/>
                <w:sz w:val="24"/>
                <w:szCs w:val="24"/>
              </w:rPr>
              <w:t xml:space="preserve"> noteiktās zemes vienību minimālās platības, pašvaldībām bieži nākas saskarties ar šī punkta dažādu interpretāciju. Lai to novērstu,</w:t>
            </w:r>
            <w:r w:rsidR="00301EA0" w:rsidRPr="000B51FF">
              <w:rPr>
                <w:rFonts w:ascii="Times New Roman" w:hAnsi="Times New Roman" w:cs="Times New Roman"/>
                <w:color w:val="000000" w:themeColor="text1"/>
                <w:sz w:val="24"/>
                <w:szCs w:val="24"/>
              </w:rPr>
              <w:t xml:space="preserve"> </w:t>
            </w:r>
            <w:r w:rsidR="00762650" w:rsidRPr="000B51FF">
              <w:rPr>
                <w:rFonts w:ascii="Times New Roman" w:hAnsi="Times New Roman" w:cs="Times New Roman"/>
                <w:color w:val="000000" w:themeColor="text1"/>
                <w:sz w:val="24"/>
                <w:szCs w:val="24"/>
              </w:rPr>
              <w:t>Projekts paredz</w:t>
            </w:r>
            <w:r w:rsidR="00E163A7" w:rsidRPr="000B51FF">
              <w:rPr>
                <w:rFonts w:ascii="Times New Roman" w:hAnsi="Times New Roman" w:cs="Times New Roman"/>
                <w:color w:val="000000" w:themeColor="text1"/>
                <w:sz w:val="24"/>
                <w:szCs w:val="24"/>
              </w:rPr>
              <w:t xml:space="preserve"> skaidrāk</w:t>
            </w:r>
            <w:r w:rsidR="00762650" w:rsidRPr="000B51FF">
              <w:rPr>
                <w:rFonts w:ascii="Times New Roman" w:hAnsi="Times New Roman" w:cs="Times New Roman"/>
                <w:color w:val="000000" w:themeColor="text1"/>
                <w:sz w:val="24"/>
                <w:szCs w:val="24"/>
              </w:rPr>
              <w:t>u un strukturētāku Noteikumu</w:t>
            </w:r>
            <w:r w:rsidR="00301EA0" w:rsidRPr="000B51FF">
              <w:rPr>
                <w:rFonts w:ascii="Times New Roman" w:hAnsi="Times New Roman" w:cs="Times New Roman"/>
                <w:color w:val="000000" w:themeColor="text1"/>
                <w:sz w:val="24"/>
                <w:szCs w:val="24"/>
              </w:rPr>
              <w:t xml:space="preserve"> 12.</w:t>
            </w:r>
            <w:r w:rsidR="00762650" w:rsidRPr="000B51FF">
              <w:rPr>
                <w:rFonts w:ascii="Times New Roman" w:hAnsi="Times New Roman" w:cs="Times New Roman"/>
                <w:color w:val="000000" w:themeColor="text1"/>
                <w:sz w:val="24"/>
                <w:szCs w:val="24"/>
              </w:rPr>
              <w:t>punkta redakciju</w:t>
            </w:r>
            <w:r w:rsidR="00301EA0" w:rsidRPr="000B51FF">
              <w:rPr>
                <w:rFonts w:ascii="Times New Roman" w:hAnsi="Times New Roman" w:cs="Times New Roman"/>
                <w:color w:val="000000" w:themeColor="text1"/>
                <w:sz w:val="24"/>
                <w:szCs w:val="24"/>
              </w:rPr>
              <w:t xml:space="preserve">, </w:t>
            </w:r>
            <w:r w:rsidR="00762650" w:rsidRPr="000B51FF">
              <w:rPr>
                <w:rFonts w:ascii="Times New Roman" w:hAnsi="Times New Roman" w:cs="Times New Roman"/>
                <w:color w:val="000000" w:themeColor="text1"/>
                <w:sz w:val="24"/>
                <w:szCs w:val="24"/>
              </w:rPr>
              <w:t>kā arī nosacījumus</w:t>
            </w:r>
            <w:r w:rsidR="00301EA0" w:rsidRPr="000B51FF">
              <w:rPr>
                <w:rFonts w:ascii="Times New Roman" w:hAnsi="Times New Roman" w:cs="Times New Roman"/>
                <w:color w:val="000000" w:themeColor="text1"/>
                <w:sz w:val="24"/>
                <w:szCs w:val="24"/>
              </w:rPr>
              <w:t xml:space="preserve"> </w:t>
            </w:r>
            <w:r w:rsidR="00762650" w:rsidRPr="000B51FF">
              <w:rPr>
                <w:rFonts w:ascii="Times New Roman" w:hAnsi="Times New Roman" w:cs="Times New Roman"/>
                <w:bCs/>
                <w:color w:val="000000" w:themeColor="text1"/>
                <w:sz w:val="24"/>
                <w:szCs w:val="24"/>
              </w:rPr>
              <w:t xml:space="preserve">atdalīto zemes vienību turpmākai izmantošanai. </w:t>
            </w:r>
          </w:p>
          <w:p w:rsidR="003E7342" w:rsidRPr="000B51FF" w:rsidRDefault="003E7342" w:rsidP="003E7342">
            <w:pPr>
              <w:pStyle w:val="ListParagraph"/>
              <w:tabs>
                <w:tab w:val="left" w:pos="421"/>
              </w:tabs>
              <w:spacing w:after="0" w:line="240" w:lineRule="auto"/>
              <w:ind w:left="0"/>
              <w:jc w:val="both"/>
              <w:rPr>
                <w:rFonts w:ascii="Times New Roman" w:hAnsi="Times New Roman" w:cs="Times New Roman"/>
                <w:bCs/>
                <w:color w:val="000000" w:themeColor="text1"/>
                <w:sz w:val="24"/>
                <w:szCs w:val="24"/>
                <w:u w:val="single"/>
              </w:rPr>
            </w:pPr>
          </w:p>
          <w:p w:rsidR="00455C29" w:rsidRPr="000B51FF" w:rsidRDefault="00455C29" w:rsidP="00455C29">
            <w:pPr>
              <w:spacing w:after="0" w:line="240" w:lineRule="auto"/>
              <w:ind w:right="57"/>
              <w:jc w:val="both"/>
              <w:rPr>
                <w:rFonts w:ascii="Times New Roman" w:hAnsi="Times New Roman" w:cs="Times New Roman"/>
                <w:color w:val="000000" w:themeColor="text1"/>
                <w:sz w:val="24"/>
                <w:szCs w:val="24"/>
              </w:rPr>
            </w:pPr>
            <w:r w:rsidRPr="000B51FF">
              <w:rPr>
                <w:rFonts w:ascii="Times New Roman" w:hAnsi="Times New Roman" w:cs="Times New Roman"/>
                <w:color w:val="000000" w:themeColor="text1"/>
                <w:sz w:val="24"/>
                <w:szCs w:val="24"/>
              </w:rPr>
              <w:t xml:space="preserve">3. </w:t>
            </w:r>
            <w:r w:rsidR="00B76AA9" w:rsidRPr="000B51FF">
              <w:rPr>
                <w:rFonts w:ascii="Times New Roman" w:hAnsi="Times New Roman" w:cs="Times New Roman"/>
                <w:color w:val="000000" w:themeColor="text1"/>
                <w:sz w:val="24"/>
                <w:szCs w:val="24"/>
              </w:rPr>
              <w:t>Lai novēr</w:t>
            </w:r>
            <w:r w:rsidR="00A82B4B">
              <w:rPr>
                <w:rFonts w:ascii="Times New Roman" w:hAnsi="Times New Roman" w:cs="Times New Roman"/>
                <w:color w:val="000000" w:themeColor="text1"/>
                <w:sz w:val="24"/>
                <w:szCs w:val="24"/>
              </w:rPr>
              <w:t>stu pārpratumus un neskaidrības</w:t>
            </w:r>
            <w:r w:rsidR="00B76AA9" w:rsidRPr="000B51FF">
              <w:rPr>
                <w:rFonts w:ascii="Times New Roman" w:hAnsi="Times New Roman" w:cs="Times New Roman"/>
                <w:color w:val="000000" w:themeColor="text1"/>
                <w:sz w:val="24"/>
                <w:szCs w:val="24"/>
              </w:rPr>
              <w:t xml:space="preserve"> par funkcionālo zonu apakšzonām, </w:t>
            </w:r>
            <w:r w:rsidR="00A82B4B">
              <w:rPr>
                <w:rFonts w:ascii="Times New Roman" w:hAnsi="Times New Roman" w:cs="Times New Roman"/>
                <w:color w:val="000000" w:themeColor="text1"/>
                <w:sz w:val="24"/>
                <w:szCs w:val="24"/>
              </w:rPr>
              <w:t>i</w:t>
            </w:r>
            <w:r w:rsidR="00762650" w:rsidRPr="000B51FF">
              <w:rPr>
                <w:rFonts w:ascii="Times New Roman" w:hAnsi="Times New Roman" w:cs="Times New Roman"/>
                <w:color w:val="000000" w:themeColor="text1"/>
                <w:sz w:val="24"/>
                <w:szCs w:val="24"/>
              </w:rPr>
              <w:t>r papildināts N</w:t>
            </w:r>
            <w:r w:rsidR="008A33CF" w:rsidRPr="000B51FF">
              <w:rPr>
                <w:rFonts w:ascii="Times New Roman" w:hAnsi="Times New Roman" w:cs="Times New Roman"/>
                <w:color w:val="000000" w:themeColor="text1"/>
                <w:sz w:val="24"/>
                <w:szCs w:val="24"/>
              </w:rPr>
              <w:t>oteikumu 19.punkts par konkrētu apbūves parametru un izmantošanas veidu noteikšanu apakšzonām</w:t>
            </w:r>
            <w:r w:rsidR="00762650" w:rsidRPr="000B51FF">
              <w:rPr>
                <w:rFonts w:ascii="Times New Roman" w:hAnsi="Times New Roman" w:cs="Times New Roman"/>
                <w:color w:val="000000" w:themeColor="text1"/>
                <w:sz w:val="24"/>
                <w:szCs w:val="24"/>
              </w:rPr>
              <w:t xml:space="preserve">. </w:t>
            </w:r>
            <w:r w:rsidR="00023122" w:rsidRPr="000B51FF">
              <w:rPr>
                <w:rFonts w:ascii="Times New Roman" w:hAnsi="Times New Roman" w:cs="Times New Roman"/>
                <w:color w:val="000000" w:themeColor="text1"/>
                <w:sz w:val="24"/>
                <w:szCs w:val="24"/>
              </w:rPr>
              <w:t xml:space="preserve">Tas dod plašākas iespējas veidot </w:t>
            </w:r>
            <w:r w:rsidR="00023122" w:rsidRPr="000B51FF">
              <w:rPr>
                <w:rFonts w:ascii="Times New Roman" w:hAnsi="Times New Roman" w:cs="Times New Roman"/>
                <w:color w:val="000000" w:themeColor="text1"/>
                <w:sz w:val="24"/>
                <w:szCs w:val="24"/>
              </w:rPr>
              <w:lastRenderedPageBreak/>
              <w:t xml:space="preserve">apakšzonas atsevišķās teritorijas daļās, kur izvirzāmi kādi specifiski nosacījumi vai ierobežojumi, izmantojot </w:t>
            </w:r>
            <w:r w:rsidRPr="000B51FF">
              <w:rPr>
                <w:rFonts w:ascii="Times New Roman" w:hAnsi="Times New Roman" w:cs="Times New Roman"/>
                <w:color w:val="000000" w:themeColor="text1"/>
                <w:sz w:val="24"/>
                <w:szCs w:val="24"/>
              </w:rPr>
              <w:t xml:space="preserve">3.pielikumā doto izmantošanas veidu aprakstu, kā arī detalizēt teritorijas plānojumā noteiktā funkcionālo zonējumu </w:t>
            </w:r>
            <w:proofErr w:type="spellStart"/>
            <w:r w:rsidRPr="000B51FF">
              <w:rPr>
                <w:rFonts w:ascii="Times New Roman" w:hAnsi="Times New Roman" w:cs="Times New Roman"/>
                <w:color w:val="000000" w:themeColor="text1"/>
                <w:sz w:val="24"/>
                <w:szCs w:val="24"/>
              </w:rPr>
              <w:t>lokālplānojumā</w:t>
            </w:r>
            <w:proofErr w:type="spellEnd"/>
            <w:r w:rsidRPr="000B51FF">
              <w:rPr>
                <w:rFonts w:ascii="Times New Roman" w:hAnsi="Times New Roman" w:cs="Times New Roman"/>
                <w:color w:val="000000" w:themeColor="text1"/>
                <w:sz w:val="24"/>
                <w:szCs w:val="24"/>
              </w:rPr>
              <w:t xml:space="preserve">. </w:t>
            </w:r>
          </w:p>
          <w:p w:rsidR="003E7342" w:rsidRPr="000B51FF" w:rsidRDefault="00D50CF4" w:rsidP="003E7342">
            <w:pPr>
              <w:spacing w:after="0" w:line="240" w:lineRule="auto"/>
              <w:ind w:right="5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762650" w:rsidRPr="000B51FF">
              <w:rPr>
                <w:rFonts w:ascii="Times New Roman" w:hAnsi="Times New Roman" w:cs="Times New Roman"/>
                <w:color w:val="000000" w:themeColor="text1"/>
                <w:sz w:val="24"/>
                <w:szCs w:val="24"/>
              </w:rPr>
              <w:t>L</w:t>
            </w:r>
            <w:r w:rsidR="00023122" w:rsidRPr="000B51FF">
              <w:rPr>
                <w:rFonts w:ascii="Times New Roman" w:hAnsi="Times New Roman" w:cs="Times New Roman"/>
                <w:color w:val="000000" w:themeColor="text1"/>
                <w:sz w:val="24"/>
                <w:szCs w:val="24"/>
              </w:rPr>
              <w:t xml:space="preserve">ai novērstu dažādo interpretāciju par atļautajiem </w:t>
            </w:r>
            <w:proofErr w:type="spellStart"/>
            <w:r w:rsidR="00023122" w:rsidRPr="000B51FF">
              <w:rPr>
                <w:rFonts w:ascii="Times New Roman" w:hAnsi="Times New Roman" w:cs="Times New Roman"/>
                <w:color w:val="000000" w:themeColor="text1"/>
                <w:sz w:val="24"/>
                <w:szCs w:val="24"/>
              </w:rPr>
              <w:t>papildizmantošanas</w:t>
            </w:r>
            <w:proofErr w:type="spellEnd"/>
            <w:r w:rsidR="00023122" w:rsidRPr="000B51FF">
              <w:rPr>
                <w:rFonts w:ascii="Times New Roman" w:hAnsi="Times New Roman" w:cs="Times New Roman"/>
                <w:color w:val="000000" w:themeColor="text1"/>
                <w:sz w:val="24"/>
                <w:szCs w:val="24"/>
              </w:rPr>
              <w:t xml:space="preserve"> veidiem</w:t>
            </w:r>
            <w:r w:rsidR="00EB4A3D" w:rsidRPr="000B51FF">
              <w:rPr>
                <w:rFonts w:ascii="Times New Roman" w:hAnsi="Times New Roman" w:cs="Times New Roman"/>
                <w:color w:val="000000" w:themeColor="text1"/>
                <w:sz w:val="24"/>
                <w:szCs w:val="24"/>
              </w:rPr>
              <w:t xml:space="preserve">, </w:t>
            </w:r>
            <w:r w:rsidR="00762650" w:rsidRPr="000B51FF">
              <w:rPr>
                <w:rFonts w:ascii="Times New Roman" w:hAnsi="Times New Roman" w:cs="Times New Roman"/>
                <w:color w:val="000000" w:themeColor="text1"/>
                <w:sz w:val="24"/>
                <w:szCs w:val="24"/>
              </w:rPr>
              <w:t>Projektā noteikts, ka gadījumā, ja pašvaldība</w:t>
            </w:r>
            <w:r w:rsidR="00EB4A3D" w:rsidRPr="000B51FF">
              <w:rPr>
                <w:rFonts w:ascii="Times New Roman" w:hAnsi="Times New Roman" w:cs="Times New Roman"/>
                <w:color w:val="000000" w:themeColor="text1"/>
                <w:sz w:val="24"/>
                <w:szCs w:val="24"/>
              </w:rPr>
              <w:t xml:space="preserve"> nav noteikusi kādā funkcionālajā zonā </w:t>
            </w:r>
            <w:proofErr w:type="spellStart"/>
            <w:r w:rsidR="00EB4A3D" w:rsidRPr="000B51FF">
              <w:rPr>
                <w:rFonts w:ascii="Times New Roman" w:hAnsi="Times New Roman" w:cs="Times New Roman"/>
                <w:color w:val="000000" w:themeColor="text1"/>
                <w:sz w:val="24"/>
                <w:szCs w:val="24"/>
              </w:rPr>
              <w:t>papildizmantošanas</w:t>
            </w:r>
            <w:proofErr w:type="spellEnd"/>
            <w:r w:rsidR="00EB4A3D" w:rsidRPr="000B51FF">
              <w:rPr>
                <w:rFonts w:ascii="Times New Roman" w:hAnsi="Times New Roman" w:cs="Times New Roman"/>
                <w:color w:val="000000" w:themeColor="text1"/>
                <w:sz w:val="24"/>
                <w:szCs w:val="24"/>
              </w:rPr>
              <w:t xml:space="preserve"> veidus, tad atļauta ir tikai galvenā izmantošana. </w:t>
            </w:r>
            <w:r w:rsidR="00762650" w:rsidRPr="000B51FF">
              <w:rPr>
                <w:rFonts w:ascii="Times New Roman" w:hAnsi="Times New Roman" w:cs="Times New Roman"/>
                <w:color w:val="000000" w:themeColor="text1"/>
                <w:sz w:val="24"/>
                <w:szCs w:val="24"/>
              </w:rPr>
              <w:t xml:space="preserve">Vienlaikus Projekts noteic </w:t>
            </w:r>
            <w:proofErr w:type="spellStart"/>
            <w:r w:rsidR="00762650" w:rsidRPr="000B51FF">
              <w:rPr>
                <w:rFonts w:ascii="Times New Roman" w:hAnsi="Times New Roman" w:cs="Times New Roman"/>
                <w:color w:val="000000" w:themeColor="text1"/>
                <w:sz w:val="24"/>
                <w:szCs w:val="24"/>
              </w:rPr>
              <w:t>papildizmantošanas</w:t>
            </w:r>
            <w:proofErr w:type="spellEnd"/>
            <w:r w:rsidR="00762650" w:rsidRPr="000B51FF">
              <w:rPr>
                <w:rFonts w:ascii="Times New Roman" w:hAnsi="Times New Roman" w:cs="Times New Roman"/>
                <w:color w:val="000000" w:themeColor="text1"/>
                <w:sz w:val="24"/>
                <w:szCs w:val="24"/>
              </w:rPr>
              <w:t xml:space="preserve"> pieļaujamo īpatsvaru funkcionālajā zonā vai apakšzonā. Tāpat Projektā ir precizēti </w:t>
            </w:r>
            <w:r w:rsidR="00143F33" w:rsidRPr="000B51FF">
              <w:rPr>
                <w:rFonts w:ascii="Times New Roman" w:hAnsi="Times New Roman" w:cs="Times New Roman"/>
                <w:color w:val="000000" w:themeColor="text1"/>
                <w:sz w:val="24"/>
                <w:szCs w:val="24"/>
              </w:rPr>
              <w:t>vairāku funkcionāl</w:t>
            </w:r>
            <w:r w:rsidR="00762650" w:rsidRPr="000B51FF">
              <w:rPr>
                <w:rFonts w:ascii="Times New Roman" w:hAnsi="Times New Roman" w:cs="Times New Roman"/>
                <w:color w:val="000000" w:themeColor="text1"/>
                <w:sz w:val="24"/>
                <w:szCs w:val="24"/>
              </w:rPr>
              <w:t xml:space="preserve">o zonu </w:t>
            </w:r>
            <w:proofErr w:type="spellStart"/>
            <w:r w:rsidR="00762650" w:rsidRPr="000B51FF">
              <w:rPr>
                <w:rFonts w:ascii="Times New Roman" w:hAnsi="Times New Roman" w:cs="Times New Roman"/>
                <w:color w:val="000000" w:themeColor="text1"/>
                <w:sz w:val="24"/>
                <w:szCs w:val="24"/>
              </w:rPr>
              <w:t>papildizmantošanas</w:t>
            </w:r>
            <w:proofErr w:type="spellEnd"/>
            <w:r w:rsidR="00762650" w:rsidRPr="000B51FF">
              <w:rPr>
                <w:rFonts w:ascii="Times New Roman" w:hAnsi="Times New Roman" w:cs="Times New Roman"/>
                <w:color w:val="000000" w:themeColor="text1"/>
                <w:sz w:val="24"/>
                <w:szCs w:val="24"/>
              </w:rPr>
              <w:t xml:space="preserve"> veidi. </w:t>
            </w:r>
            <w:r w:rsidR="00143F33" w:rsidRPr="000B51FF">
              <w:rPr>
                <w:rFonts w:ascii="Times New Roman" w:hAnsi="Times New Roman" w:cs="Times New Roman"/>
                <w:color w:val="000000" w:themeColor="text1"/>
                <w:sz w:val="24"/>
                <w:szCs w:val="24"/>
              </w:rPr>
              <w:t xml:space="preserve"> </w:t>
            </w:r>
          </w:p>
          <w:p w:rsidR="003E7342" w:rsidRPr="000B51FF" w:rsidRDefault="003E7342" w:rsidP="003E7342">
            <w:pPr>
              <w:spacing w:after="0" w:line="240" w:lineRule="auto"/>
              <w:ind w:right="57"/>
              <w:jc w:val="both"/>
              <w:rPr>
                <w:rFonts w:ascii="Times New Roman" w:hAnsi="Times New Roman" w:cs="Times New Roman"/>
                <w:color w:val="000000" w:themeColor="text1"/>
                <w:sz w:val="24"/>
                <w:szCs w:val="24"/>
              </w:rPr>
            </w:pPr>
          </w:p>
          <w:p w:rsidR="00FA049F" w:rsidRPr="000B51FF" w:rsidRDefault="00FA049F" w:rsidP="00FA049F">
            <w:pPr>
              <w:pStyle w:val="naisf"/>
              <w:tabs>
                <w:tab w:val="left" w:pos="0"/>
              </w:tabs>
              <w:spacing w:before="0" w:after="0"/>
              <w:ind w:firstLine="0"/>
              <w:rPr>
                <w:color w:val="000000" w:themeColor="text1"/>
              </w:rPr>
            </w:pPr>
            <w:r w:rsidRPr="000B51FF">
              <w:rPr>
                <w:color w:val="000000" w:themeColor="text1"/>
              </w:rPr>
              <w:t>4. Lai atvieglotu Noteikumu uztveramību un tajos ietverto normu piemērošanu, ir precizēts 65.4 apakšpunkts, kas nosaka gadījumu, kad lauku teritorijā no pārējā zemes īpašuma var atdalīt esošo viensētu, kas likumīgi uzbūvēta līdz Noteikumu spēkā stāšanās brīdim (</w:t>
            </w:r>
            <w:proofErr w:type="gramStart"/>
            <w:r w:rsidRPr="000B51FF">
              <w:rPr>
                <w:color w:val="000000" w:themeColor="text1"/>
              </w:rPr>
              <w:t>2013.gada</w:t>
            </w:r>
            <w:proofErr w:type="gramEnd"/>
            <w:r w:rsidRPr="000B51FF">
              <w:rPr>
                <w:color w:val="000000" w:themeColor="text1"/>
              </w:rPr>
              <w:t xml:space="preserve"> 22.maijs), vienlaikus svītrojot Noslēguma jautājumu 244.punktu, kurā bija doti nosacījumi 12.punkta un 65.4 apakšpunkta piemērošanai.</w:t>
            </w:r>
          </w:p>
          <w:p w:rsidR="00BE49D9" w:rsidRPr="000B51FF" w:rsidRDefault="00BE49D9" w:rsidP="00455C29">
            <w:pPr>
              <w:pStyle w:val="ListParagraph"/>
              <w:numPr>
                <w:ilvl w:val="0"/>
                <w:numId w:val="17"/>
              </w:numPr>
              <w:spacing w:after="0" w:line="240" w:lineRule="auto"/>
              <w:ind w:left="-5" w:right="57"/>
              <w:jc w:val="both"/>
              <w:rPr>
                <w:rFonts w:ascii="Times New Roman" w:hAnsi="Times New Roman" w:cs="Times New Roman"/>
                <w:color w:val="000000" w:themeColor="text1"/>
                <w:sz w:val="24"/>
                <w:szCs w:val="24"/>
              </w:rPr>
            </w:pPr>
          </w:p>
          <w:p w:rsidR="00762650" w:rsidRPr="000B51FF" w:rsidRDefault="00BE49D9" w:rsidP="00FA049F">
            <w:pPr>
              <w:pStyle w:val="ListParagraph"/>
              <w:numPr>
                <w:ilvl w:val="0"/>
                <w:numId w:val="17"/>
              </w:numPr>
              <w:spacing w:after="0" w:line="240" w:lineRule="auto"/>
              <w:ind w:left="-6" w:right="57"/>
              <w:jc w:val="both"/>
              <w:rPr>
                <w:rFonts w:ascii="Times New Roman" w:hAnsi="Times New Roman" w:cs="Times New Roman"/>
                <w:color w:val="000000" w:themeColor="text1"/>
                <w:sz w:val="24"/>
                <w:szCs w:val="24"/>
              </w:rPr>
            </w:pPr>
            <w:r w:rsidRPr="000B51FF">
              <w:rPr>
                <w:rFonts w:ascii="Times New Roman" w:hAnsi="Times New Roman" w:cs="Times New Roman"/>
                <w:color w:val="000000" w:themeColor="text1"/>
                <w:sz w:val="24"/>
                <w:szCs w:val="24"/>
              </w:rPr>
              <w:t xml:space="preserve">5. </w:t>
            </w:r>
            <w:r w:rsidR="00865AEE" w:rsidRPr="000B51FF">
              <w:rPr>
                <w:rFonts w:ascii="Times New Roman" w:hAnsi="Times New Roman" w:cs="Times New Roman"/>
                <w:color w:val="000000" w:themeColor="text1"/>
                <w:sz w:val="24"/>
                <w:szCs w:val="24"/>
              </w:rPr>
              <w:t xml:space="preserve">Ir </w:t>
            </w:r>
            <w:proofErr w:type="gramStart"/>
            <w:r w:rsidR="00865AEE" w:rsidRPr="000B51FF">
              <w:rPr>
                <w:rFonts w:ascii="Times New Roman" w:hAnsi="Times New Roman" w:cs="Times New Roman"/>
                <w:color w:val="000000" w:themeColor="text1"/>
                <w:sz w:val="24"/>
                <w:szCs w:val="24"/>
              </w:rPr>
              <w:t xml:space="preserve">izmainīta </w:t>
            </w:r>
            <w:r w:rsidRPr="000B51FF">
              <w:rPr>
                <w:rFonts w:ascii="Times New Roman" w:hAnsi="Times New Roman" w:cs="Times New Roman"/>
                <w:color w:val="000000" w:themeColor="text1"/>
                <w:sz w:val="24"/>
                <w:szCs w:val="24"/>
              </w:rPr>
              <w:t>Noteikumu</w:t>
            </w:r>
            <w:proofErr w:type="gramEnd"/>
            <w:r w:rsidRPr="000B51FF">
              <w:rPr>
                <w:rFonts w:ascii="Times New Roman" w:hAnsi="Times New Roman" w:cs="Times New Roman"/>
                <w:color w:val="000000" w:themeColor="text1"/>
                <w:sz w:val="24"/>
                <w:szCs w:val="24"/>
              </w:rPr>
              <w:t xml:space="preserve"> </w:t>
            </w:r>
            <w:r w:rsidR="00865AEE" w:rsidRPr="000B51FF">
              <w:rPr>
                <w:rFonts w:ascii="Times New Roman" w:hAnsi="Times New Roman" w:cs="Times New Roman"/>
                <w:color w:val="000000" w:themeColor="text1"/>
                <w:sz w:val="24"/>
                <w:szCs w:val="24"/>
              </w:rPr>
              <w:t>6.2.apakšnodaļa “Ielu un ceļu iedalījums”</w:t>
            </w:r>
            <w:r w:rsidR="00295D90" w:rsidRPr="000B51FF">
              <w:rPr>
                <w:rFonts w:ascii="Times New Roman" w:hAnsi="Times New Roman" w:cs="Times New Roman"/>
                <w:color w:val="000000" w:themeColor="text1"/>
                <w:sz w:val="24"/>
                <w:szCs w:val="24"/>
              </w:rPr>
              <w:t xml:space="preserve">, kas bija </w:t>
            </w:r>
            <w:r w:rsidR="002D0D06" w:rsidRPr="000B51FF">
              <w:rPr>
                <w:rFonts w:ascii="Times New Roman" w:hAnsi="Times New Roman" w:cs="Times New Roman"/>
                <w:color w:val="000000" w:themeColor="text1"/>
                <w:sz w:val="24"/>
                <w:szCs w:val="24"/>
              </w:rPr>
              <w:t xml:space="preserve">grūti uztverama un </w:t>
            </w:r>
            <w:r w:rsidR="00762650" w:rsidRPr="000B51FF">
              <w:rPr>
                <w:rFonts w:ascii="Times New Roman" w:hAnsi="Times New Roman" w:cs="Times New Roman"/>
                <w:color w:val="000000" w:themeColor="text1"/>
                <w:sz w:val="24"/>
                <w:szCs w:val="24"/>
              </w:rPr>
              <w:t xml:space="preserve">nebija atbilstoša Latvijas plānošanas praksē pielietotajai terminoloģijai. </w:t>
            </w:r>
          </w:p>
          <w:p w:rsidR="00FA049F" w:rsidRPr="000B51FF" w:rsidRDefault="00762650" w:rsidP="00FA049F">
            <w:pPr>
              <w:pStyle w:val="ListParagraph"/>
              <w:spacing w:line="240" w:lineRule="auto"/>
              <w:ind w:left="0"/>
              <w:jc w:val="both"/>
              <w:rPr>
                <w:rFonts w:ascii="Times New Roman" w:hAnsi="Times New Roman" w:cs="Times New Roman"/>
                <w:color w:val="000000" w:themeColor="text1"/>
                <w:sz w:val="24"/>
                <w:szCs w:val="24"/>
              </w:rPr>
            </w:pPr>
            <w:r w:rsidRPr="000B51FF">
              <w:rPr>
                <w:rFonts w:ascii="Times New Roman" w:hAnsi="Times New Roman" w:cs="Times New Roman"/>
                <w:color w:val="000000" w:themeColor="text1"/>
                <w:sz w:val="24"/>
                <w:szCs w:val="24"/>
              </w:rPr>
              <w:t xml:space="preserve">Noteikumu 2.pielikumā dotais ielu un ceļu iedalījums bija mehāniski pārņemts no AS “Ceļu projekts” </w:t>
            </w:r>
            <w:proofErr w:type="gramStart"/>
            <w:r w:rsidRPr="000B51FF">
              <w:rPr>
                <w:rFonts w:ascii="Times New Roman" w:hAnsi="Times New Roman" w:cs="Times New Roman"/>
                <w:color w:val="000000" w:themeColor="text1"/>
                <w:sz w:val="24"/>
                <w:szCs w:val="24"/>
              </w:rPr>
              <w:t>2004.gadā</w:t>
            </w:r>
            <w:proofErr w:type="gramEnd"/>
            <w:r w:rsidRPr="000B51FF">
              <w:rPr>
                <w:rFonts w:ascii="Times New Roman" w:hAnsi="Times New Roman" w:cs="Times New Roman"/>
                <w:color w:val="000000" w:themeColor="text1"/>
                <w:sz w:val="24"/>
                <w:szCs w:val="24"/>
              </w:rPr>
              <w:t xml:space="preserve"> izstrādātā metodiskā materiāla “Ieteikumi ceļu tīkla plānošanai”, kas savukārt bija </w:t>
            </w:r>
            <w:r w:rsidR="00BE49D9" w:rsidRPr="000B51FF">
              <w:rPr>
                <w:rFonts w:ascii="Times New Roman" w:hAnsi="Times New Roman" w:cs="Times New Roman"/>
                <w:color w:val="000000" w:themeColor="text1"/>
                <w:sz w:val="24"/>
                <w:szCs w:val="24"/>
              </w:rPr>
              <w:t>pārņemts no Vācijas normatīvajiem aktiem</w:t>
            </w:r>
            <w:r w:rsidRPr="000B51FF">
              <w:rPr>
                <w:rFonts w:ascii="Times New Roman" w:hAnsi="Times New Roman" w:cs="Times New Roman"/>
                <w:color w:val="000000" w:themeColor="text1"/>
                <w:sz w:val="24"/>
                <w:szCs w:val="24"/>
              </w:rPr>
              <w:t xml:space="preserve">. </w:t>
            </w:r>
            <w:proofErr w:type="gramStart"/>
            <w:r w:rsidR="00FA049F" w:rsidRPr="000B51FF">
              <w:rPr>
                <w:rFonts w:ascii="Times New Roman" w:hAnsi="Times New Roman" w:cs="Times New Roman"/>
                <w:color w:val="000000" w:themeColor="text1"/>
                <w:sz w:val="24"/>
                <w:szCs w:val="24"/>
              </w:rPr>
              <w:t>Bez tam</w:t>
            </w:r>
            <w:proofErr w:type="gramEnd"/>
            <w:r w:rsidR="00FA049F" w:rsidRPr="000B51FF">
              <w:rPr>
                <w:rFonts w:ascii="Times New Roman" w:hAnsi="Times New Roman" w:cs="Times New Roman"/>
                <w:color w:val="000000" w:themeColor="text1"/>
                <w:sz w:val="24"/>
                <w:szCs w:val="24"/>
              </w:rPr>
              <w:t xml:space="preserve"> autoceļu iedalījums jau ir noteikts likumā “Par autoceļiem”. Līdz ar to ir svītrots Noteikumu 2.pielikums un tajā dotās ielu kategorijas ir iekļautas 6.2.apakšnodaļā, vienlaikus precizējot arī apakšnodaļas nosaukumu. Atbilstoši ir</w:t>
            </w:r>
            <w:proofErr w:type="gramStart"/>
            <w:r w:rsidR="00FA049F" w:rsidRPr="000B51FF">
              <w:rPr>
                <w:rFonts w:ascii="Times New Roman" w:hAnsi="Times New Roman" w:cs="Times New Roman"/>
                <w:color w:val="000000" w:themeColor="text1"/>
                <w:sz w:val="24"/>
                <w:szCs w:val="24"/>
              </w:rPr>
              <w:t xml:space="preserve">  </w:t>
            </w:r>
            <w:proofErr w:type="gramEnd"/>
            <w:r w:rsidR="00FA049F" w:rsidRPr="000B51FF">
              <w:rPr>
                <w:rFonts w:ascii="Times New Roman" w:hAnsi="Times New Roman" w:cs="Times New Roman"/>
                <w:color w:val="000000" w:themeColor="text1"/>
                <w:sz w:val="24"/>
                <w:szCs w:val="24"/>
              </w:rPr>
              <w:t>precizēti ar šo regulējumu saistītie punkti, piemēram, 5.punkts.</w:t>
            </w:r>
          </w:p>
          <w:p w:rsidR="006B3130" w:rsidRPr="000B51FF" w:rsidRDefault="009E757A" w:rsidP="00455C29">
            <w:pPr>
              <w:pStyle w:val="Default"/>
              <w:numPr>
                <w:ilvl w:val="0"/>
                <w:numId w:val="17"/>
              </w:numPr>
              <w:ind w:left="-5" w:right="57"/>
              <w:jc w:val="both"/>
              <w:rPr>
                <w:color w:val="000000" w:themeColor="text1"/>
              </w:rPr>
            </w:pPr>
            <w:r w:rsidRPr="000B51FF">
              <w:rPr>
                <w:color w:val="000000" w:themeColor="text1"/>
              </w:rPr>
              <w:t xml:space="preserve">6. </w:t>
            </w:r>
            <w:r w:rsidR="00762650" w:rsidRPr="000B51FF">
              <w:rPr>
                <w:color w:val="000000" w:themeColor="text1"/>
              </w:rPr>
              <w:t xml:space="preserve">Lielākajā daļā pašvaldību teritorijas plānojumos, kas izstrādāti līdz </w:t>
            </w:r>
            <w:proofErr w:type="gramStart"/>
            <w:r w:rsidR="00682071" w:rsidRPr="000B51FF">
              <w:rPr>
                <w:color w:val="000000" w:themeColor="text1"/>
              </w:rPr>
              <w:t>2011.gada</w:t>
            </w:r>
            <w:proofErr w:type="gramEnd"/>
            <w:r w:rsidR="00682071" w:rsidRPr="000B51FF">
              <w:rPr>
                <w:color w:val="000000" w:themeColor="text1"/>
              </w:rPr>
              <w:t xml:space="preserve"> 13.oktobra grozījumu Aizsargjoslu likumā</w:t>
            </w:r>
            <w:r w:rsidR="00762650" w:rsidRPr="000B51FF">
              <w:rPr>
                <w:color w:val="000000" w:themeColor="text1"/>
              </w:rPr>
              <w:t xml:space="preserve"> spēkā stāšanās brīdim, sarkanās līnijas ir noteiktas teritorijas plānojumos. Aktuāls ir jautājums par to tiesisko statusu. Tāpat jāatzīmē, ka Aizsargjoslu likuma normas tiek attiecinātas gan uz esošo ielu sarkanajām līnijām, gan uz plānoto ielu sarkanajām līnijām. Sekojoši Projektā precizēti attiecīgie </w:t>
            </w:r>
            <w:r w:rsidR="005F565F" w:rsidRPr="000B51FF">
              <w:rPr>
                <w:color w:val="000000" w:themeColor="text1"/>
              </w:rPr>
              <w:t>Noteikumu punkt</w:t>
            </w:r>
            <w:r w:rsidR="00762650" w:rsidRPr="000B51FF">
              <w:rPr>
                <w:color w:val="000000" w:themeColor="text1"/>
              </w:rPr>
              <w:t xml:space="preserve">i. </w:t>
            </w:r>
            <w:r w:rsidR="005F565F" w:rsidRPr="000B51FF">
              <w:rPr>
                <w:color w:val="000000" w:themeColor="text1"/>
              </w:rPr>
              <w:t xml:space="preserve"> </w:t>
            </w:r>
          </w:p>
          <w:p w:rsidR="006B3130" w:rsidRPr="000B51FF" w:rsidRDefault="006B3130" w:rsidP="00455C29">
            <w:pPr>
              <w:pStyle w:val="Default"/>
              <w:numPr>
                <w:ilvl w:val="0"/>
                <w:numId w:val="17"/>
              </w:numPr>
              <w:ind w:left="-5" w:right="57"/>
              <w:jc w:val="both"/>
              <w:rPr>
                <w:color w:val="000000" w:themeColor="text1"/>
              </w:rPr>
            </w:pPr>
          </w:p>
          <w:p w:rsidR="00762650" w:rsidRPr="000B51FF" w:rsidRDefault="006B3130" w:rsidP="00455C29">
            <w:pPr>
              <w:pStyle w:val="Default"/>
              <w:numPr>
                <w:ilvl w:val="0"/>
                <w:numId w:val="17"/>
              </w:numPr>
              <w:ind w:left="-5" w:right="57"/>
              <w:jc w:val="both"/>
              <w:rPr>
                <w:color w:val="000000" w:themeColor="text1"/>
              </w:rPr>
            </w:pPr>
            <w:r w:rsidRPr="000B51FF">
              <w:rPr>
                <w:color w:val="000000" w:themeColor="text1"/>
              </w:rPr>
              <w:t xml:space="preserve">7. </w:t>
            </w:r>
            <w:r w:rsidR="00762650" w:rsidRPr="000B51FF">
              <w:rPr>
                <w:color w:val="000000" w:themeColor="text1"/>
              </w:rPr>
              <w:t>Pašvaldības savos apbūves noteikumos ir ietvērušas dažādas un pretrunīgas augstuma noteikšanas definīcijas un piemēro atšķirīgas metodes apbūves augstuma noteikšanai.</w:t>
            </w:r>
            <w:r w:rsidRPr="000B51FF">
              <w:rPr>
                <w:color w:val="000000" w:themeColor="text1"/>
              </w:rPr>
              <w:t xml:space="preserve"> </w:t>
            </w:r>
            <w:r w:rsidR="00D50CF4">
              <w:rPr>
                <w:color w:val="000000" w:themeColor="text1"/>
              </w:rPr>
              <w:t xml:space="preserve">  </w:t>
            </w:r>
            <w:r w:rsidRPr="000B51FF">
              <w:rPr>
                <w:color w:val="000000" w:themeColor="text1"/>
              </w:rPr>
              <w:lastRenderedPageBreak/>
              <w:t>Projektā precizēts N</w:t>
            </w:r>
            <w:r w:rsidR="00762650" w:rsidRPr="000B51FF">
              <w:rPr>
                <w:color w:val="000000" w:themeColor="text1"/>
              </w:rPr>
              <w:t>oteikumu 123.</w:t>
            </w:r>
            <w:r w:rsidR="00A94597" w:rsidRPr="000B51FF">
              <w:rPr>
                <w:color w:val="000000" w:themeColor="text1"/>
              </w:rPr>
              <w:t>punkts</w:t>
            </w:r>
            <w:r w:rsidR="00762650" w:rsidRPr="000B51FF">
              <w:rPr>
                <w:color w:val="000000" w:themeColor="text1"/>
              </w:rPr>
              <w:t>,</w:t>
            </w:r>
            <w:r w:rsidR="00A94597" w:rsidRPr="000B51FF">
              <w:rPr>
                <w:color w:val="000000" w:themeColor="text1"/>
              </w:rPr>
              <w:t xml:space="preserve"> no</w:t>
            </w:r>
            <w:r w:rsidR="00762650" w:rsidRPr="000B51FF">
              <w:rPr>
                <w:color w:val="000000" w:themeColor="text1"/>
              </w:rPr>
              <w:t>sakot</w:t>
            </w:r>
            <w:r w:rsidR="00A94597" w:rsidRPr="000B51FF">
              <w:rPr>
                <w:color w:val="000000" w:themeColor="text1"/>
              </w:rPr>
              <w:t xml:space="preserve"> skaidrus galvenos principus </w:t>
            </w:r>
            <w:r w:rsidR="00762650" w:rsidRPr="000B51FF">
              <w:rPr>
                <w:color w:val="000000" w:themeColor="text1"/>
              </w:rPr>
              <w:t xml:space="preserve">un </w:t>
            </w:r>
            <w:r w:rsidR="00A94597" w:rsidRPr="000B51FF">
              <w:rPr>
                <w:color w:val="000000" w:themeColor="text1"/>
              </w:rPr>
              <w:t>iespēju pašvaldībai tos konkretizēt</w:t>
            </w:r>
            <w:r w:rsidR="00762650" w:rsidRPr="000B51FF">
              <w:rPr>
                <w:color w:val="000000" w:themeColor="text1"/>
              </w:rPr>
              <w:t xml:space="preserve">. </w:t>
            </w:r>
          </w:p>
          <w:p w:rsidR="006B3130" w:rsidRPr="000B51FF" w:rsidRDefault="00D50CF4" w:rsidP="006B3130">
            <w:pPr>
              <w:spacing w:after="0" w:line="240" w:lineRule="auto"/>
              <w:ind w:right="5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0B51FF" w:rsidRPr="000B51FF">
              <w:rPr>
                <w:rFonts w:ascii="Times New Roman" w:hAnsi="Times New Roman" w:cs="Times New Roman"/>
                <w:color w:val="000000" w:themeColor="text1"/>
                <w:sz w:val="24"/>
                <w:szCs w:val="24"/>
              </w:rPr>
              <w:t xml:space="preserve">Analizējot dažādus gadījumus praksē, ir konstatējams, ka teritorijās ar tur atļauto </w:t>
            </w:r>
            <w:proofErr w:type="spellStart"/>
            <w:r w:rsidR="000B51FF" w:rsidRPr="000B51FF">
              <w:rPr>
                <w:rFonts w:ascii="Times New Roman" w:hAnsi="Times New Roman" w:cs="Times New Roman"/>
                <w:color w:val="000000" w:themeColor="text1"/>
                <w:sz w:val="24"/>
                <w:szCs w:val="24"/>
              </w:rPr>
              <w:t>papildizmantošanu</w:t>
            </w:r>
            <w:proofErr w:type="spellEnd"/>
            <w:r w:rsidR="000B51FF" w:rsidRPr="000B51FF">
              <w:rPr>
                <w:rFonts w:ascii="Times New Roman" w:hAnsi="Times New Roman" w:cs="Times New Roman"/>
                <w:color w:val="000000" w:themeColor="text1"/>
                <w:sz w:val="24"/>
                <w:szCs w:val="24"/>
              </w:rPr>
              <w:t>, atsevišķas Noteikumu normas par apbūves augstuma noteikšanu ir tikušas interpretētas gramatiski, tādējādi kavējot teritorijas attīstību</w:t>
            </w:r>
            <w:r w:rsidR="003D60B1" w:rsidRPr="000B51FF">
              <w:rPr>
                <w:rFonts w:ascii="Times New Roman" w:hAnsi="Times New Roman" w:cs="Times New Roman"/>
                <w:color w:val="000000" w:themeColor="text1"/>
                <w:sz w:val="24"/>
                <w:szCs w:val="24"/>
              </w:rPr>
              <w:t xml:space="preserve">. </w:t>
            </w:r>
            <w:r w:rsidR="00762650" w:rsidRPr="000B51FF">
              <w:rPr>
                <w:rFonts w:ascii="Times New Roman" w:hAnsi="Times New Roman" w:cs="Times New Roman"/>
                <w:color w:val="000000" w:themeColor="text1"/>
                <w:sz w:val="24"/>
                <w:szCs w:val="24"/>
              </w:rPr>
              <w:t>P</w:t>
            </w:r>
            <w:r w:rsidR="003D60B1" w:rsidRPr="000B51FF">
              <w:rPr>
                <w:rFonts w:ascii="Times New Roman" w:hAnsi="Times New Roman" w:cs="Times New Roman"/>
                <w:color w:val="000000" w:themeColor="text1"/>
                <w:sz w:val="24"/>
                <w:szCs w:val="24"/>
              </w:rPr>
              <w:t xml:space="preserve">iemēram, </w:t>
            </w:r>
            <w:r w:rsidR="003D60B1" w:rsidRPr="000B51FF">
              <w:rPr>
                <w:rFonts w:ascii="Times New Roman" w:hAnsi="Times New Roman" w:cs="Times New Roman"/>
                <w:i/>
                <w:color w:val="000000" w:themeColor="text1"/>
                <w:sz w:val="24"/>
                <w:szCs w:val="24"/>
              </w:rPr>
              <w:t>Mazstāvu dzīvojamās apbūves teritorijās</w:t>
            </w:r>
            <w:r w:rsidR="003D60B1" w:rsidRPr="000B51FF">
              <w:rPr>
                <w:rFonts w:ascii="Times New Roman" w:hAnsi="Times New Roman" w:cs="Times New Roman"/>
                <w:color w:val="000000" w:themeColor="text1"/>
                <w:sz w:val="24"/>
                <w:szCs w:val="24"/>
              </w:rPr>
              <w:t xml:space="preserve"> stāvu skaita ierobežojums līdz trim stāviem tiek attiecināts arī uz </w:t>
            </w:r>
            <w:proofErr w:type="spellStart"/>
            <w:r w:rsidR="003D60B1" w:rsidRPr="000B51FF">
              <w:rPr>
                <w:rFonts w:ascii="Times New Roman" w:hAnsi="Times New Roman" w:cs="Times New Roman"/>
                <w:color w:val="000000" w:themeColor="text1"/>
                <w:sz w:val="24"/>
                <w:szCs w:val="24"/>
              </w:rPr>
              <w:t>papildizmantošanā</w:t>
            </w:r>
            <w:proofErr w:type="spellEnd"/>
            <w:r w:rsidR="003D60B1" w:rsidRPr="000B51FF">
              <w:rPr>
                <w:rFonts w:ascii="Times New Roman" w:hAnsi="Times New Roman" w:cs="Times New Roman"/>
                <w:color w:val="000000" w:themeColor="text1"/>
                <w:sz w:val="24"/>
                <w:szCs w:val="24"/>
              </w:rPr>
              <w:t xml:space="preserve"> atļautajām publiskajām ēkām – skolām, birojiem, veselības aizsardzības iestādēm u.c., kas nereti ir četru un vairāk stāvu ēkas. </w:t>
            </w:r>
            <w:r w:rsidR="00762650" w:rsidRPr="000B51FF">
              <w:rPr>
                <w:rFonts w:ascii="Times New Roman" w:hAnsi="Times New Roman" w:cs="Times New Roman"/>
                <w:color w:val="000000" w:themeColor="text1"/>
                <w:sz w:val="24"/>
                <w:szCs w:val="24"/>
              </w:rPr>
              <w:t xml:space="preserve">Analoga situācija ir arī </w:t>
            </w:r>
            <w:r w:rsidR="00762650" w:rsidRPr="000B51FF">
              <w:rPr>
                <w:rFonts w:ascii="Times New Roman" w:hAnsi="Times New Roman" w:cs="Times New Roman"/>
                <w:i/>
                <w:color w:val="000000" w:themeColor="text1"/>
                <w:sz w:val="24"/>
                <w:szCs w:val="24"/>
              </w:rPr>
              <w:t>D</w:t>
            </w:r>
            <w:r w:rsidR="003D60B1" w:rsidRPr="000B51FF">
              <w:rPr>
                <w:rFonts w:ascii="Times New Roman" w:hAnsi="Times New Roman" w:cs="Times New Roman"/>
                <w:i/>
                <w:color w:val="000000" w:themeColor="text1"/>
                <w:sz w:val="24"/>
                <w:szCs w:val="24"/>
              </w:rPr>
              <w:t>audzstāvu dzīvojamās apbūves teritorijās</w:t>
            </w:r>
            <w:r w:rsidR="003D60B1" w:rsidRPr="000B51FF">
              <w:rPr>
                <w:rFonts w:ascii="Times New Roman" w:hAnsi="Times New Roman" w:cs="Times New Roman"/>
                <w:color w:val="000000" w:themeColor="text1"/>
                <w:sz w:val="24"/>
                <w:szCs w:val="24"/>
              </w:rPr>
              <w:t xml:space="preserve">, kur nereti publiskām ēkām tiek piemērota prasība par stāvu skaitu ne mazāku par četriem, lai gan publiskās ēkas (bērnudārzi, veikali u.c.) visbiežāk ir vienstāva vai </w:t>
            </w:r>
            <w:proofErr w:type="spellStart"/>
            <w:r w:rsidR="003D60B1" w:rsidRPr="000B51FF">
              <w:rPr>
                <w:rFonts w:ascii="Times New Roman" w:hAnsi="Times New Roman" w:cs="Times New Roman"/>
                <w:color w:val="000000" w:themeColor="text1"/>
                <w:sz w:val="24"/>
                <w:szCs w:val="24"/>
              </w:rPr>
              <w:t>divstāva</w:t>
            </w:r>
            <w:proofErr w:type="spellEnd"/>
            <w:r w:rsidR="003D60B1" w:rsidRPr="000B51FF">
              <w:rPr>
                <w:rFonts w:ascii="Times New Roman" w:hAnsi="Times New Roman" w:cs="Times New Roman"/>
                <w:color w:val="000000" w:themeColor="text1"/>
                <w:sz w:val="24"/>
                <w:szCs w:val="24"/>
              </w:rPr>
              <w:t xml:space="preserve"> ēkas. Pa</w:t>
            </w:r>
            <w:r w:rsidR="006B3130" w:rsidRPr="000B51FF">
              <w:rPr>
                <w:rFonts w:ascii="Times New Roman" w:hAnsi="Times New Roman" w:cs="Times New Roman"/>
                <w:color w:val="000000" w:themeColor="text1"/>
                <w:sz w:val="24"/>
                <w:szCs w:val="24"/>
              </w:rPr>
              <w:t>matojoties uz iepriekš minēto, N</w:t>
            </w:r>
            <w:r w:rsidR="003D60B1" w:rsidRPr="000B51FF">
              <w:rPr>
                <w:rFonts w:ascii="Times New Roman" w:hAnsi="Times New Roman" w:cs="Times New Roman"/>
                <w:color w:val="000000" w:themeColor="text1"/>
                <w:sz w:val="24"/>
                <w:szCs w:val="24"/>
              </w:rPr>
              <w:t>oteikumi ir papildināti ar jaunu 122.</w:t>
            </w:r>
            <w:r w:rsidR="003D60B1" w:rsidRPr="000B51FF">
              <w:rPr>
                <w:rFonts w:ascii="Times New Roman" w:hAnsi="Times New Roman" w:cs="Times New Roman"/>
                <w:color w:val="000000" w:themeColor="text1"/>
                <w:sz w:val="24"/>
                <w:szCs w:val="24"/>
                <w:vertAlign w:val="superscript"/>
              </w:rPr>
              <w:t>1</w:t>
            </w:r>
            <w:r w:rsidR="00762650" w:rsidRPr="000B51FF">
              <w:rPr>
                <w:rFonts w:ascii="Times New Roman" w:hAnsi="Times New Roman" w:cs="Times New Roman"/>
                <w:color w:val="000000" w:themeColor="text1"/>
                <w:sz w:val="24"/>
                <w:szCs w:val="24"/>
              </w:rPr>
              <w:t xml:space="preserve"> punktu, kas pašvaldībai dod tiesības noteikt </w:t>
            </w:r>
            <w:r w:rsidR="004868CA">
              <w:rPr>
                <w:rFonts w:ascii="Times New Roman" w:hAnsi="Times New Roman" w:cs="Times New Roman"/>
                <w:color w:val="000000" w:themeColor="text1"/>
                <w:sz w:val="24"/>
                <w:szCs w:val="24"/>
              </w:rPr>
              <w:t xml:space="preserve">teritorijas plānojumā vai </w:t>
            </w:r>
            <w:proofErr w:type="spellStart"/>
            <w:r w:rsidR="004868CA">
              <w:rPr>
                <w:rFonts w:ascii="Times New Roman" w:hAnsi="Times New Roman" w:cs="Times New Roman"/>
                <w:color w:val="000000" w:themeColor="text1"/>
                <w:sz w:val="24"/>
                <w:szCs w:val="24"/>
              </w:rPr>
              <w:t>lokālplānojumā</w:t>
            </w:r>
            <w:proofErr w:type="spellEnd"/>
            <w:r w:rsidR="004868CA">
              <w:rPr>
                <w:rFonts w:ascii="Times New Roman" w:hAnsi="Times New Roman" w:cs="Times New Roman"/>
                <w:color w:val="000000" w:themeColor="text1"/>
                <w:sz w:val="24"/>
                <w:szCs w:val="24"/>
              </w:rPr>
              <w:t xml:space="preserve"> </w:t>
            </w:r>
            <w:r w:rsidR="00762650" w:rsidRPr="000B51FF">
              <w:rPr>
                <w:rFonts w:ascii="Times New Roman" w:hAnsi="Times New Roman" w:cs="Times New Roman"/>
                <w:color w:val="000000" w:themeColor="text1"/>
                <w:sz w:val="24"/>
                <w:szCs w:val="24"/>
              </w:rPr>
              <w:t>funkcionālās zonas</w:t>
            </w:r>
            <w:r w:rsidR="003D60B1" w:rsidRPr="000B51FF">
              <w:rPr>
                <w:rFonts w:ascii="Times New Roman" w:hAnsi="Times New Roman" w:cs="Times New Roman"/>
                <w:color w:val="000000" w:themeColor="text1"/>
                <w:sz w:val="24"/>
                <w:szCs w:val="24"/>
              </w:rPr>
              <w:t xml:space="preserve"> </w:t>
            </w:r>
            <w:r w:rsidR="00762650" w:rsidRPr="000B51FF">
              <w:rPr>
                <w:rFonts w:ascii="Times New Roman" w:hAnsi="Times New Roman" w:cs="Times New Roman"/>
                <w:color w:val="000000" w:themeColor="text1"/>
                <w:sz w:val="24"/>
                <w:szCs w:val="24"/>
              </w:rPr>
              <w:t xml:space="preserve">vai apakšzonas, kuru </w:t>
            </w:r>
            <w:proofErr w:type="spellStart"/>
            <w:r w:rsidR="00762650" w:rsidRPr="000B51FF">
              <w:rPr>
                <w:rFonts w:ascii="Times New Roman" w:hAnsi="Times New Roman" w:cs="Times New Roman"/>
                <w:color w:val="000000" w:themeColor="text1"/>
                <w:sz w:val="24"/>
                <w:szCs w:val="24"/>
              </w:rPr>
              <w:t>papildizmantošanās</w:t>
            </w:r>
            <w:proofErr w:type="spellEnd"/>
            <w:r w:rsidR="00762650" w:rsidRPr="000B51FF">
              <w:rPr>
                <w:rFonts w:ascii="Times New Roman" w:hAnsi="Times New Roman" w:cs="Times New Roman"/>
                <w:color w:val="000000" w:themeColor="text1"/>
                <w:sz w:val="24"/>
                <w:szCs w:val="24"/>
              </w:rPr>
              <w:t xml:space="preserve"> pieļaujama attiecīgi apbūves augstuma samazināšana vai palielināšana.</w:t>
            </w:r>
          </w:p>
          <w:p w:rsidR="006B3130" w:rsidRPr="000B51FF" w:rsidRDefault="006B3130" w:rsidP="006B3130">
            <w:pPr>
              <w:spacing w:after="0" w:line="240" w:lineRule="auto"/>
              <w:ind w:right="57"/>
              <w:jc w:val="both"/>
              <w:rPr>
                <w:rFonts w:ascii="Times New Roman" w:hAnsi="Times New Roman" w:cs="Times New Roman"/>
                <w:color w:val="000000" w:themeColor="text1"/>
                <w:sz w:val="24"/>
                <w:szCs w:val="24"/>
              </w:rPr>
            </w:pPr>
          </w:p>
          <w:p w:rsidR="00F16C53" w:rsidRPr="000B51FF" w:rsidRDefault="006B3130" w:rsidP="00F16C53">
            <w:pPr>
              <w:spacing w:after="0" w:line="240" w:lineRule="auto"/>
              <w:ind w:right="57"/>
              <w:jc w:val="both"/>
              <w:rPr>
                <w:rFonts w:ascii="Times New Roman" w:hAnsi="Times New Roman" w:cs="Times New Roman"/>
                <w:color w:val="000000" w:themeColor="text1"/>
                <w:sz w:val="24"/>
                <w:szCs w:val="24"/>
              </w:rPr>
            </w:pPr>
            <w:r w:rsidRPr="000B51FF">
              <w:rPr>
                <w:rFonts w:ascii="Times New Roman" w:hAnsi="Times New Roman" w:cs="Times New Roman"/>
                <w:color w:val="000000" w:themeColor="text1"/>
                <w:sz w:val="24"/>
                <w:szCs w:val="24"/>
              </w:rPr>
              <w:t xml:space="preserve">8. </w:t>
            </w:r>
            <w:r w:rsidR="00762650" w:rsidRPr="000B51FF">
              <w:rPr>
                <w:rFonts w:ascii="Times New Roman" w:hAnsi="Times New Roman" w:cs="Times New Roman"/>
                <w:color w:val="000000" w:themeColor="text1"/>
                <w:sz w:val="24"/>
                <w:szCs w:val="24"/>
              </w:rPr>
              <w:t>Praksē</w:t>
            </w:r>
            <w:r w:rsidR="00394156" w:rsidRPr="000B51FF">
              <w:rPr>
                <w:rFonts w:ascii="Times New Roman" w:hAnsi="Times New Roman" w:cs="Times New Roman"/>
                <w:color w:val="000000" w:themeColor="text1"/>
                <w:sz w:val="24"/>
                <w:szCs w:val="24"/>
              </w:rPr>
              <w:t xml:space="preserve"> problēmas radīja </w:t>
            </w:r>
            <w:r w:rsidR="00762650" w:rsidRPr="000B51FF">
              <w:rPr>
                <w:rFonts w:ascii="Times New Roman" w:hAnsi="Times New Roman" w:cs="Times New Roman"/>
                <w:color w:val="000000" w:themeColor="text1"/>
                <w:sz w:val="24"/>
                <w:szCs w:val="24"/>
              </w:rPr>
              <w:t>N</w:t>
            </w:r>
            <w:r w:rsidR="00394156" w:rsidRPr="000B51FF">
              <w:rPr>
                <w:rFonts w:ascii="Times New Roman" w:hAnsi="Times New Roman" w:cs="Times New Roman"/>
                <w:color w:val="000000" w:themeColor="text1"/>
                <w:sz w:val="24"/>
                <w:szCs w:val="24"/>
              </w:rPr>
              <w:t xml:space="preserve">oteikumu prasības par apbūves atbilstību zemes vienības robežām, jo nebija </w:t>
            </w:r>
            <w:r w:rsidR="00762650" w:rsidRPr="000B51FF">
              <w:rPr>
                <w:rFonts w:ascii="Times New Roman" w:hAnsi="Times New Roman" w:cs="Times New Roman"/>
                <w:color w:val="000000" w:themeColor="text1"/>
                <w:sz w:val="24"/>
                <w:szCs w:val="24"/>
              </w:rPr>
              <w:t>ievērtēta situācija</w:t>
            </w:r>
            <w:r w:rsidR="00394156" w:rsidRPr="000B51FF">
              <w:rPr>
                <w:rFonts w:ascii="Times New Roman" w:hAnsi="Times New Roman" w:cs="Times New Roman"/>
                <w:color w:val="000000" w:themeColor="text1"/>
                <w:sz w:val="24"/>
                <w:szCs w:val="24"/>
              </w:rPr>
              <w:t>, kad būve jāveido kā pārkare, vai tai nepieciešams atrasties uz vairākām zemes vienībām, kā</w:t>
            </w:r>
            <w:r w:rsidRPr="000B51FF">
              <w:rPr>
                <w:rFonts w:ascii="Times New Roman" w:hAnsi="Times New Roman" w:cs="Times New Roman"/>
                <w:color w:val="000000" w:themeColor="text1"/>
                <w:sz w:val="24"/>
                <w:szCs w:val="24"/>
              </w:rPr>
              <w:t>,</w:t>
            </w:r>
            <w:r w:rsidR="00394156" w:rsidRPr="000B51FF">
              <w:rPr>
                <w:rFonts w:ascii="Times New Roman" w:hAnsi="Times New Roman" w:cs="Times New Roman"/>
                <w:color w:val="000000" w:themeColor="text1"/>
                <w:sz w:val="24"/>
                <w:szCs w:val="24"/>
              </w:rPr>
              <w:t xml:space="preserve"> piemēram</w:t>
            </w:r>
            <w:r w:rsidR="00762650" w:rsidRPr="000B51FF">
              <w:rPr>
                <w:rFonts w:ascii="Times New Roman" w:hAnsi="Times New Roman" w:cs="Times New Roman"/>
                <w:color w:val="000000" w:themeColor="text1"/>
                <w:sz w:val="24"/>
                <w:szCs w:val="24"/>
              </w:rPr>
              <w:t>,</w:t>
            </w:r>
            <w:r w:rsidR="00394156" w:rsidRPr="000B51FF">
              <w:rPr>
                <w:rFonts w:ascii="Times New Roman" w:hAnsi="Times New Roman" w:cs="Times New Roman"/>
                <w:color w:val="000000" w:themeColor="text1"/>
                <w:sz w:val="24"/>
                <w:szCs w:val="24"/>
              </w:rPr>
              <w:t xml:space="preserve"> dambjiem, moliem, aizsprostiem u.tml. </w:t>
            </w:r>
            <w:r w:rsidR="00762650" w:rsidRPr="000B51FF">
              <w:rPr>
                <w:rFonts w:ascii="Times New Roman" w:hAnsi="Times New Roman" w:cs="Times New Roman"/>
                <w:color w:val="000000" w:themeColor="text1"/>
                <w:sz w:val="24"/>
                <w:szCs w:val="24"/>
              </w:rPr>
              <w:t>Līdz ar to atbilstoši precizēts un papildināts Noteikumu</w:t>
            </w:r>
            <w:r w:rsidR="00BE7126" w:rsidRPr="000B51FF">
              <w:rPr>
                <w:rFonts w:ascii="Times New Roman" w:hAnsi="Times New Roman" w:cs="Times New Roman"/>
                <w:color w:val="000000" w:themeColor="text1"/>
                <w:sz w:val="24"/>
                <w:szCs w:val="24"/>
              </w:rPr>
              <w:t xml:space="preserve"> </w:t>
            </w:r>
            <w:r w:rsidR="00762650" w:rsidRPr="000B51FF">
              <w:rPr>
                <w:rFonts w:ascii="Times New Roman" w:hAnsi="Times New Roman" w:cs="Times New Roman"/>
                <w:color w:val="000000" w:themeColor="text1"/>
                <w:sz w:val="24"/>
                <w:szCs w:val="24"/>
              </w:rPr>
              <w:t>133.</w:t>
            </w:r>
            <w:r w:rsidR="00394156" w:rsidRPr="000B51FF">
              <w:rPr>
                <w:rFonts w:ascii="Times New Roman" w:hAnsi="Times New Roman" w:cs="Times New Roman"/>
                <w:color w:val="000000" w:themeColor="text1"/>
                <w:sz w:val="24"/>
                <w:szCs w:val="24"/>
              </w:rPr>
              <w:t>punkts</w:t>
            </w:r>
            <w:r w:rsidR="00762650" w:rsidRPr="000B51FF">
              <w:rPr>
                <w:rFonts w:ascii="Times New Roman" w:hAnsi="Times New Roman" w:cs="Times New Roman"/>
                <w:color w:val="000000" w:themeColor="text1"/>
                <w:sz w:val="24"/>
                <w:szCs w:val="24"/>
              </w:rPr>
              <w:t>.</w:t>
            </w:r>
            <w:r w:rsidR="00394156" w:rsidRPr="000B51FF">
              <w:rPr>
                <w:rFonts w:ascii="Times New Roman" w:hAnsi="Times New Roman" w:cs="Times New Roman"/>
                <w:color w:val="000000" w:themeColor="text1"/>
                <w:sz w:val="24"/>
                <w:szCs w:val="24"/>
              </w:rPr>
              <w:t xml:space="preserve"> </w:t>
            </w:r>
          </w:p>
          <w:p w:rsidR="00F16C53" w:rsidRPr="000B51FF" w:rsidRDefault="00F16C53" w:rsidP="00F16C53">
            <w:pPr>
              <w:spacing w:after="0" w:line="240" w:lineRule="auto"/>
              <w:ind w:right="57"/>
              <w:jc w:val="both"/>
              <w:rPr>
                <w:rFonts w:ascii="Times New Roman" w:hAnsi="Times New Roman" w:cs="Times New Roman"/>
                <w:color w:val="000000" w:themeColor="text1"/>
                <w:sz w:val="24"/>
                <w:szCs w:val="24"/>
              </w:rPr>
            </w:pPr>
          </w:p>
          <w:p w:rsidR="000B51FF" w:rsidRPr="000B51FF" w:rsidRDefault="00D822B0" w:rsidP="000B51FF">
            <w:pPr>
              <w:pStyle w:val="ListParagraph"/>
              <w:numPr>
                <w:ilvl w:val="0"/>
                <w:numId w:val="15"/>
              </w:numPr>
              <w:spacing w:after="0" w:line="240" w:lineRule="auto"/>
              <w:ind w:left="-5" w:right="57"/>
              <w:jc w:val="both"/>
              <w:rPr>
                <w:rFonts w:ascii="Times New Roman" w:hAnsi="Times New Roman" w:cs="Times New Roman"/>
                <w:sz w:val="24"/>
                <w:szCs w:val="24"/>
              </w:rPr>
            </w:pPr>
            <w:r w:rsidRPr="000B51FF">
              <w:rPr>
                <w:rFonts w:ascii="Times New Roman" w:hAnsi="Times New Roman" w:cs="Times New Roman"/>
                <w:color w:val="000000" w:themeColor="text1"/>
                <w:sz w:val="24"/>
                <w:szCs w:val="24"/>
              </w:rPr>
              <w:t xml:space="preserve">9. </w:t>
            </w:r>
            <w:r w:rsidR="000B51FF" w:rsidRPr="000B51FF">
              <w:rPr>
                <w:rFonts w:ascii="Times New Roman" w:hAnsi="Times New Roman" w:cs="Times New Roman"/>
                <w:sz w:val="24"/>
                <w:szCs w:val="24"/>
              </w:rPr>
              <w:t xml:space="preserve">Lai nodrošinātu Direktīvas prasību attiecībā uz teritoriju plānošanu ieviešanu nacionālajā tiesiskajā regulējumā, precizēts Noteikumu 144.punkts, kā arī 11.nodaļa </w:t>
            </w:r>
            <w:r w:rsidR="000B51FF" w:rsidRPr="000B51FF">
              <w:rPr>
                <w:rFonts w:ascii="Times New Roman" w:hAnsi="Times New Roman" w:cs="Times New Roman"/>
                <w:i/>
                <w:sz w:val="24"/>
                <w:szCs w:val="24"/>
              </w:rPr>
              <w:t>Riska teritorijas un piesārņotās teritorijas</w:t>
            </w:r>
            <w:r w:rsidR="000B51FF" w:rsidRPr="000B51FF">
              <w:rPr>
                <w:rFonts w:ascii="Times New Roman" w:hAnsi="Times New Roman" w:cs="Times New Roman"/>
                <w:sz w:val="24"/>
                <w:szCs w:val="24"/>
              </w:rPr>
              <w:t>.</w:t>
            </w:r>
          </w:p>
          <w:p w:rsidR="00D822B0" w:rsidRPr="000B51FF" w:rsidRDefault="00D822B0" w:rsidP="00D822B0">
            <w:pPr>
              <w:pStyle w:val="ListParagraph"/>
              <w:numPr>
                <w:ilvl w:val="0"/>
                <w:numId w:val="15"/>
              </w:numPr>
              <w:spacing w:after="0" w:line="240" w:lineRule="auto"/>
              <w:ind w:left="-5" w:right="57"/>
              <w:jc w:val="both"/>
              <w:rPr>
                <w:rFonts w:ascii="Times New Roman" w:hAnsi="Times New Roman" w:cs="Times New Roman"/>
                <w:color w:val="000000" w:themeColor="text1"/>
                <w:sz w:val="24"/>
                <w:szCs w:val="24"/>
              </w:rPr>
            </w:pPr>
          </w:p>
          <w:p w:rsidR="000B51FF" w:rsidRPr="000B51FF" w:rsidRDefault="00D822B0" w:rsidP="000B51FF">
            <w:pPr>
              <w:spacing w:after="0" w:line="240" w:lineRule="auto"/>
              <w:ind w:right="57"/>
              <w:jc w:val="both"/>
              <w:rPr>
                <w:rFonts w:ascii="Times New Roman" w:hAnsi="Times New Roman" w:cs="Times New Roman"/>
                <w:color w:val="000000" w:themeColor="text1"/>
                <w:sz w:val="24"/>
                <w:szCs w:val="24"/>
              </w:rPr>
            </w:pPr>
            <w:r w:rsidRPr="000B51FF">
              <w:rPr>
                <w:rFonts w:ascii="Times New Roman" w:hAnsi="Times New Roman" w:cs="Times New Roman"/>
                <w:color w:val="000000" w:themeColor="text1"/>
                <w:sz w:val="24"/>
                <w:szCs w:val="24"/>
              </w:rPr>
              <w:t xml:space="preserve">10. </w:t>
            </w:r>
            <w:r w:rsidR="00B56CE9" w:rsidRPr="000B51FF">
              <w:rPr>
                <w:rFonts w:ascii="Times New Roman" w:hAnsi="Times New Roman" w:cs="Times New Roman"/>
                <w:color w:val="000000" w:themeColor="text1"/>
                <w:sz w:val="24"/>
                <w:szCs w:val="24"/>
              </w:rPr>
              <w:t>L</w:t>
            </w:r>
            <w:r w:rsidR="00E95B75" w:rsidRPr="000B51FF">
              <w:rPr>
                <w:rFonts w:ascii="Times New Roman" w:hAnsi="Times New Roman" w:cs="Times New Roman"/>
                <w:color w:val="000000" w:themeColor="text1"/>
                <w:sz w:val="24"/>
                <w:szCs w:val="24"/>
              </w:rPr>
              <w:t>ai</w:t>
            </w:r>
            <w:r w:rsidRPr="000B51FF">
              <w:rPr>
                <w:rFonts w:ascii="Times New Roman" w:hAnsi="Times New Roman" w:cs="Times New Roman"/>
                <w:color w:val="000000" w:themeColor="text1"/>
                <w:sz w:val="24"/>
                <w:szCs w:val="24"/>
              </w:rPr>
              <w:t xml:space="preserve"> saskaņotu N</w:t>
            </w:r>
            <w:r w:rsidR="00E95B75" w:rsidRPr="000B51FF">
              <w:rPr>
                <w:rFonts w:ascii="Times New Roman" w:hAnsi="Times New Roman" w:cs="Times New Roman"/>
                <w:color w:val="000000" w:themeColor="text1"/>
                <w:sz w:val="24"/>
                <w:szCs w:val="24"/>
              </w:rPr>
              <w:t xml:space="preserve">oteikumu prasības ar </w:t>
            </w:r>
            <w:r w:rsidR="00B56CE9" w:rsidRPr="000B51FF">
              <w:rPr>
                <w:rFonts w:ascii="Times New Roman" w:hAnsi="Times New Roman" w:cs="Times New Roman"/>
                <w:i/>
                <w:color w:val="000000" w:themeColor="text1"/>
                <w:sz w:val="24"/>
                <w:szCs w:val="24"/>
              </w:rPr>
              <w:t>Ūdenssaimniecības pakalpojumu likumu</w:t>
            </w:r>
            <w:r w:rsidR="00B56CE9" w:rsidRPr="000B51FF">
              <w:rPr>
                <w:rFonts w:ascii="Times New Roman" w:hAnsi="Times New Roman" w:cs="Times New Roman"/>
                <w:color w:val="000000" w:themeColor="text1"/>
                <w:sz w:val="24"/>
                <w:szCs w:val="24"/>
              </w:rPr>
              <w:t xml:space="preserve">, kas ir spēkā </w:t>
            </w:r>
            <w:r w:rsidR="00762650" w:rsidRPr="000B51FF">
              <w:rPr>
                <w:rFonts w:ascii="Times New Roman" w:hAnsi="Times New Roman" w:cs="Times New Roman"/>
                <w:color w:val="000000" w:themeColor="text1"/>
                <w:sz w:val="24"/>
                <w:szCs w:val="24"/>
              </w:rPr>
              <w:t>no</w:t>
            </w:r>
            <w:r w:rsidR="00B56CE9" w:rsidRPr="000B51FF">
              <w:rPr>
                <w:rFonts w:ascii="Times New Roman" w:hAnsi="Times New Roman" w:cs="Times New Roman"/>
                <w:color w:val="000000" w:themeColor="text1"/>
                <w:sz w:val="24"/>
                <w:szCs w:val="24"/>
              </w:rPr>
              <w:t xml:space="preserve"> 201</w:t>
            </w:r>
            <w:r w:rsidR="00F968AE" w:rsidRPr="000B51FF">
              <w:rPr>
                <w:rFonts w:ascii="Times New Roman" w:hAnsi="Times New Roman" w:cs="Times New Roman"/>
                <w:color w:val="000000" w:themeColor="text1"/>
                <w:sz w:val="24"/>
                <w:szCs w:val="24"/>
              </w:rPr>
              <w:t>6</w:t>
            </w:r>
            <w:r w:rsidR="00B56CE9" w:rsidRPr="000B51FF">
              <w:rPr>
                <w:rFonts w:ascii="Times New Roman" w:hAnsi="Times New Roman" w:cs="Times New Roman"/>
                <w:color w:val="000000" w:themeColor="text1"/>
                <w:sz w:val="24"/>
                <w:szCs w:val="24"/>
              </w:rPr>
              <w:t xml:space="preserve">. gada </w:t>
            </w:r>
            <w:proofErr w:type="gramStart"/>
            <w:r w:rsidR="00B56CE9" w:rsidRPr="000B51FF">
              <w:rPr>
                <w:rFonts w:ascii="Times New Roman" w:hAnsi="Times New Roman" w:cs="Times New Roman"/>
                <w:color w:val="000000" w:themeColor="text1"/>
                <w:sz w:val="24"/>
                <w:szCs w:val="24"/>
              </w:rPr>
              <w:t>1.janvāra</w:t>
            </w:r>
            <w:proofErr w:type="gramEnd"/>
            <w:r w:rsidR="00B56CE9" w:rsidRPr="000B51FF">
              <w:rPr>
                <w:rFonts w:ascii="Times New Roman" w:hAnsi="Times New Roman" w:cs="Times New Roman"/>
                <w:color w:val="000000" w:themeColor="text1"/>
                <w:sz w:val="24"/>
                <w:szCs w:val="24"/>
              </w:rPr>
              <w:t xml:space="preserve">, </w:t>
            </w:r>
            <w:r w:rsidR="00762650" w:rsidRPr="000B51FF">
              <w:rPr>
                <w:rFonts w:ascii="Times New Roman" w:hAnsi="Times New Roman" w:cs="Times New Roman"/>
                <w:color w:val="000000" w:themeColor="text1"/>
                <w:sz w:val="24"/>
                <w:szCs w:val="24"/>
              </w:rPr>
              <w:t>N</w:t>
            </w:r>
            <w:r w:rsidR="00B56CE9" w:rsidRPr="000B51FF">
              <w:rPr>
                <w:rFonts w:ascii="Times New Roman" w:hAnsi="Times New Roman" w:cs="Times New Roman"/>
                <w:color w:val="000000" w:themeColor="text1"/>
                <w:sz w:val="24"/>
                <w:szCs w:val="24"/>
              </w:rPr>
              <w:t>oteikumi ir papildināti ar jaunu punktu</w:t>
            </w:r>
            <w:r w:rsidR="00762650" w:rsidRPr="000B51FF">
              <w:rPr>
                <w:rFonts w:ascii="Times New Roman" w:hAnsi="Times New Roman" w:cs="Times New Roman"/>
                <w:color w:val="000000" w:themeColor="text1"/>
                <w:sz w:val="24"/>
                <w:szCs w:val="24"/>
              </w:rPr>
              <w:t xml:space="preserve">, kas noteic, kā </w:t>
            </w:r>
            <w:r w:rsidR="00762650" w:rsidRPr="00083924">
              <w:rPr>
                <w:rFonts w:ascii="Times New Roman" w:hAnsi="Times New Roman" w:cs="Times New Roman"/>
                <w:color w:val="000000" w:themeColor="text1"/>
                <w:sz w:val="24"/>
                <w:szCs w:val="24"/>
              </w:rPr>
              <w:t xml:space="preserve">teritorijas plānojumā vai </w:t>
            </w:r>
            <w:proofErr w:type="spellStart"/>
            <w:r w:rsidR="00762650" w:rsidRPr="00083924">
              <w:rPr>
                <w:rFonts w:ascii="Times New Roman" w:hAnsi="Times New Roman" w:cs="Times New Roman"/>
                <w:color w:val="000000" w:themeColor="text1"/>
                <w:sz w:val="24"/>
                <w:szCs w:val="24"/>
              </w:rPr>
              <w:t>lokālplānojumā</w:t>
            </w:r>
            <w:proofErr w:type="spellEnd"/>
            <w:r w:rsidR="00762650" w:rsidRPr="00083924">
              <w:rPr>
                <w:rFonts w:ascii="Times New Roman" w:hAnsi="Times New Roman" w:cs="Times New Roman"/>
                <w:color w:val="000000" w:themeColor="text1"/>
                <w:sz w:val="24"/>
                <w:szCs w:val="24"/>
              </w:rPr>
              <w:t xml:space="preserve"> norāda</w:t>
            </w:r>
            <w:r w:rsidR="00B56CE9" w:rsidRPr="00083924">
              <w:rPr>
                <w:rFonts w:ascii="Times New Roman" w:hAnsi="Times New Roman" w:cs="Times New Roman"/>
                <w:color w:val="000000" w:themeColor="text1"/>
                <w:sz w:val="24"/>
                <w:szCs w:val="24"/>
              </w:rPr>
              <w:t xml:space="preserve"> </w:t>
            </w:r>
            <w:r w:rsidR="00762650" w:rsidRPr="00083924">
              <w:rPr>
                <w:rFonts w:ascii="Times New Roman" w:hAnsi="Times New Roman" w:cs="Times New Roman"/>
                <w:color w:val="000000" w:themeColor="text1"/>
                <w:sz w:val="24"/>
                <w:szCs w:val="24"/>
              </w:rPr>
              <w:t>teritorijas, kurās obligāti ierīkojamas centralizētas ūdensapgādes un notekūdeņu savākšanas sistēmas (TIN1, atbilstoši noteikumu 1.pielikumam).</w:t>
            </w:r>
            <w:r w:rsidR="00762650" w:rsidRPr="000B51FF">
              <w:rPr>
                <w:rFonts w:ascii="Times New Roman" w:hAnsi="Times New Roman" w:cs="Times New Roman"/>
                <w:color w:val="000000" w:themeColor="text1"/>
                <w:sz w:val="24"/>
                <w:szCs w:val="24"/>
                <w:u w:val="single"/>
              </w:rPr>
              <w:t xml:space="preserve"> </w:t>
            </w:r>
            <w:r w:rsidR="00762650" w:rsidRPr="000B51FF">
              <w:rPr>
                <w:rFonts w:ascii="Times New Roman" w:hAnsi="Times New Roman" w:cs="Times New Roman"/>
                <w:color w:val="000000" w:themeColor="text1"/>
                <w:sz w:val="24"/>
                <w:szCs w:val="24"/>
              </w:rPr>
              <w:t xml:space="preserve"> </w:t>
            </w:r>
          </w:p>
          <w:p w:rsidR="000B51FF" w:rsidRPr="000B51FF" w:rsidRDefault="000B51FF" w:rsidP="000B51FF">
            <w:pPr>
              <w:spacing w:after="0" w:line="240" w:lineRule="auto"/>
              <w:ind w:right="57"/>
              <w:jc w:val="both"/>
              <w:rPr>
                <w:rFonts w:ascii="Times New Roman" w:hAnsi="Times New Roman" w:cs="Times New Roman"/>
                <w:color w:val="000000" w:themeColor="text1"/>
                <w:sz w:val="24"/>
                <w:szCs w:val="24"/>
              </w:rPr>
            </w:pPr>
          </w:p>
          <w:p w:rsidR="000B51FF" w:rsidRPr="000B51FF" w:rsidRDefault="000B51FF" w:rsidP="000B51FF">
            <w:pPr>
              <w:spacing w:after="0" w:line="240" w:lineRule="auto"/>
              <w:ind w:right="57"/>
              <w:jc w:val="both"/>
              <w:rPr>
                <w:rFonts w:ascii="Times New Roman" w:hAnsi="Times New Roman" w:cs="Times New Roman"/>
                <w:color w:val="000000" w:themeColor="text1"/>
                <w:sz w:val="24"/>
                <w:szCs w:val="24"/>
              </w:rPr>
            </w:pPr>
            <w:r w:rsidRPr="000B51FF">
              <w:rPr>
                <w:rFonts w:ascii="Times New Roman" w:hAnsi="Times New Roman" w:cs="Times New Roman"/>
                <w:color w:val="000000" w:themeColor="text1"/>
                <w:sz w:val="24"/>
                <w:szCs w:val="24"/>
              </w:rPr>
              <w:t xml:space="preserve">11.Ņemot vērā, ka Noteikumu prasības vēja elektrostaciju virs 20kW izvietošanai radīja nepamatotus ierobežojumus vēja enerģijas izmantošanai, ir precizēta 163.punkta redakcija. Drošības aizsargjoslas ap vēja elektrostacijām, kā objektiem, nosaka saskaņā ar metodiku par drošības aizsargjoslu noteikšanu. Savukārt Teritorijas plānojumā un </w:t>
            </w:r>
            <w:proofErr w:type="spellStart"/>
            <w:r w:rsidRPr="000B51FF">
              <w:rPr>
                <w:rFonts w:ascii="Times New Roman" w:hAnsi="Times New Roman" w:cs="Times New Roman"/>
                <w:color w:val="000000" w:themeColor="text1"/>
                <w:sz w:val="24"/>
                <w:szCs w:val="24"/>
              </w:rPr>
              <w:t>lokālplānojumā</w:t>
            </w:r>
            <w:proofErr w:type="spellEnd"/>
            <w:r w:rsidRPr="000B51FF">
              <w:rPr>
                <w:rFonts w:ascii="Times New Roman" w:hAnsi="Times New Roman" w:cs="Times New Roman"/>
                <w:color w:val="000000" w:themeColor="text1"/>
                <w:sz w:val="24"/>
                <w:szCs w:val="24"/>
              </w:rPr>
              <w:t xml:space="preserve"> tiek noteikti teritorijas izmantošanas veidi, </w:t>
            </w:r>
            <w:r w:rsidRPr="000B51FF">
              <w:rPr>
                <w:rFonts w:ascii="Times New Roman" w:hAnsi="Times New Roman" w:cs="Times New Roman"/>
                <w:color w:val="000000" w:themeColor="text1"/>
                <w:sz w:val="24"/>
                <w:szCs w:val="24"/>
              </w:rPr>
              <w:lastRenderedPageBreak/>
              <w:t xml:space="preserve">nevis konkrēto objektu izvietojums. Tādēļ Projektā ir izvirzītas prasības vēja parku, kā teritorijas, izvietojumam. </w:t>
            </w:r>
          </w:p>
          <w:p w:rsidR="00F440C9" w:rsidRPr="000B51FF" w:rsidRDefault="00F440C9" w:rsidP="00F440C9">
            <w:pPr>
              <w:pStyle w:val="ListParagraph"/>
              <w:spacing w:after="0" w:line="240" w:lineRule="auto"/>
              <w:jc w:val="both"/>
              <w:rPr>
                <w:rFonts w:ascii="Times New Roman" w:hAnsi="Times New Roman" w:cs="Times New Roman"/>
                <w:color w:val="000000" w:themeColor="text1"/>
                <w:sz w:val="24"/>
                <w:szCs w:val="24"/>
              </w:rPr>
            </w:pPr>
          </w:p>
          <w:p w:rsidR="00FC579B" w:rsidRPr="00083924" w:rsidRDefault="00FC579B" w:rsidP="00FC579B">
            <w:pPr>
              <w:spacing w:after="0" w:line="240" w:lineRule="auto"/>
              <w:jc w:val="both"/>
              <w:rPr>
                <w:rFonts w:ascii="Times New Roman" w:hAnsi="Times New Roman" w:cs="Times New Roman"/>
                <w:color w:val="000000" w:themeColor="text1"/>
                <w:sz w:val="24"/>
                <w:szCs w:val="24"/>
              </w:rPr>
            </w:pPr>
            <w:r w:rsidRPr="000B51FF">
              <w:rPr>
                <w:rFonts w:ascii="Times New Roman" w:hAnsi="Times New Roman" w:cs="Times New Roman"/>
                <w:color w:val="000000" w:themeColor="text1"/>
                <w:sz w:val="24"/>
                <w:szCs w:val="24"/>
              </w:rPr>
              <w:t xml:space="preserve">12. </w:t>
            </w:r>
            <w:r w:rsidR="00C40985" w:rsidRPr="000B51FF">
              <w:rPr>
                <w:rFonts w:ascii="Times New Roman" w:hAnsi="Times New Roman" w:cs="Times New Roman"/>
                <w:color w:val="000000" w:themeColor="text1"/>
                <w:sz w:val="24"/>
                <w:szCs w:val="24"/>
              </w:rPr>
              <w:t>Izstrādājot pašvaldības teritorijas plānojuma grafi</w:t>
            </w:r>
            <w:r w:rsidR="00CF4076" w:rsidRPr="000B51FF">
              <w:rPr>
                <w:rFonts w:ascii="Times New Roman" w:hAnsi="Times New Roman" w:cs="Times New Roman"/>
                <w:color w:val="000000" w:themeColor="text1"/>
                <w:sz w:val="24"/>
                <w:szCs w:val="24"/>
              </w:rPr>
              <w:t>sko daļu ar mēroga noteiktību 1:</w:t>
            </w:r>
            <w:r w:rsidR="00C40985" w:rsidRPr="000B51FF">
              <w:rPr>
                <w:rFonts w:ascii="Times New Roman" w:hAnsi="Times New Roman" w:cs="Times New Roman"/>
                <w:color w:val="000000" w:themeColor="text1"/>
                <w:sz w:val="24"/>
                <w:szCs w:val="24"/>
              </w:rPr>
              <w:t xml:space="preserve">10000, nav iespējams precīzi noteikt </w:t>
            </w:r>
            <w:r w:rsidR="00C40985" w:rsidRPr="00083924">
              <w:rPr>
                <w:rFonts w:ascii="Times New Roman" w:hAnsi="Times New Roman" w:cs="Times New Roman"/>
                <w:color w:val="000000" w:themeColor="text1"/>
                <w:sz w:val="24"/>
                <w:szCs w:val="24"/>
              </w:rPr>
              <w:t xml:space="preserve">applūstošās teritorijas, jo tas prasa </w:t>
            </w:r>
            <w:r w:rsidR="00951F09" w:rsidRPr="00083924">
              <w:rPr>
                <w:rFonts w:ascii="Times New Roman" w:hAnsi="Times New Roman" w:cs="Times New Roman"/>
                <w:color w:val="000000" w:themeColor="text1"/>
                <w:sz w:val="24"/>
                <w:szCs w:val="24"/>
              </w:rPr>
              <w:t>detalizēt</w:t>
            </w:r>
            <w:r w:rsidR="00951604" w:rsidRPr="00083924">
              <w:rPr>
                <w:rFonts w:ascii="Times New Roman" w:hAnsi="Times New Roman" w:cs="Times New Roman"/>
                <w:color w:val="000000" w:themeColor="text1"/>
                <w:sz w:val="24"/>
                <w:szCs w:val="24"/>
              </w:rPr>
              <w:t xml:space="preserve">u izpēti, </w:t>
            </w:r>
            <w:r w:rsidR="00951F09" w:rsidRPr="00083924">
              <w:rPr>
                <w:rFonts w:ascii="Times New Roman" w:hAnsi="Times New Roman" w:cs="Times New Roman"/>
                <w:color w:val="000000" w:themeColor="text1"/>
                <w:sz w:val="24"/>
                <w:szCs w:val="24"/>
              </w:rPr>
              <w:t xml:space="preserve">papildus informāciju un resursus. Tādēļ izstrādājot </w:t>
            </w:r>
            <w:proofErr w:type="spellStart"/>
            <w:r w:rsidR="00951F09" w:rsidRPr="00083924">
              <w:rPr>
                <w:rFonts w:ascii="Times New Roman" w:hAnsi="Times New Roman" w:cs="Times New Roman"/>
                <w:color w:val="000000" w:themeColor="text1"/>
                <w:sz w:val="24"/>
                <w:szCs w:val="24"/>
              </w:rPr>
              <w:t>lokālplānojumus</w:t>
            </w:r>
            <w:proofErr w:type="spellEnd"/>
            <w:r w:rsidR="00951F09" w:rsidRPr="00083924">
              <w:rPr>
                <w:rFonts w:ascii="Times New Roman" w:hAnsi="Times New Roman" w:cs="Times New Roman"/>
                <w:color w:val="000000" w:themeColor="text1"/>
                <w:sz w:val="24"/>
                <w:szCs w:val="24"/>
              </w:rPr>
              <w:t xml:space="preserve">, detālplānojumus vai būvprojektus uz aktuāla augstas precizitātes topogrāfiskā materiāla, bieži konstatējama neatbilstība reālai situācijai. Līdz ar to </w:t>
            </w:r>
            <w:r w:rsidR="00CF4076" w:rsidRPr="00083924">
              <w:rPr>
                <w:rFonts w:ascii="Times New Roman" w:hAnsi="Times New Roman" w:cs="Times New Roman"/>
                <w:color w:val="000000" w:themeColor="text1"/>
                <w:sz w:val="24"/>
                <w:szCs w:val="24"/>
              </w:rPr>
              <w:t>N</w:t>
            </w:r>
            <w:r w:rsidR="00951F09" w:rsidRPr="00083924">
              <w:rPr>
                <w:rFonts w:ascii="Times New Roman" w:hAnsi="Times New Roman" w:cs="Times New Roman"/>
                <w:color w:val="000000" w:themeColor="text1"/>
                <w:sz w:val="24"/>
                <w:szCs w:val="24"/>
              </w:rPr>
              <w:t xml:space="preserve">oteikumi papildināti ar jaunu punktu </w:t>
            </w:r>
            <w:r w:rsidR="00CF4076" w:rsidRPr="00083924">
              <w:rPr>
                <w:rFonts w:ascii="Times New Roman" w:hAnsi="Times New Roman" w:cs="Times New Roman"/>
                <w:color w:val="000000" w:themeColor="text1"/>
                <w:sz w:val="24"/>
                <w:szCs w:val="24"/>
              </w:rPr>
              <w:t xml:space="preserve">par applūstošo teritoriju precizēšanu </w:t>
            </w:r>
            <w:proofErr w:type="spellStart"/>
            <w:r w:rsidR="00CF4076" w:rsidRPr="00083924">
              <w:rPr>
                <w:rFonts w:ascii="Times New Roman" w:hAnsi="Times New Roman" w:cs="Times New Roman"/>
                <w:color w:val="000000" w:themeColor="text1"/>
                <w:sz w:val="24"/>
                <w:szCs w:val="24"/>
              </w:rPr>
              <w:t>lokālplānojumos</w:t>
            </w:r>
            <w:proofErr w:type="spellEnd"/>
            <w:r w:rsidR="00CF4076" w:rsidRPr="00083924">
              <w:rPr>
                <w:rFonts w:ascii="Times New Roman" w:hAnsi="Times New Roman" w:cs="Times New Roman"/>
                <w:color w:val="000000" w:themeColor="text1"/>
                <w:sz w:val="24"/>
                <w:szCs w:val="24"/>
              </w:rPr>
              <w:t xml:space="preserve">, detālplānojumos vai būvprojektos. </w:t>
            </w:r>
          </w:p>
          <w:p w:rsidR="00FC579B" w:rsidRPr="000B51FF" w:rsidRDefault="00FC579B" w:rsidP="00FC579B">
            <w:pPr>
              <w:spacing w:after="0" w:line="240" w:lineRule="auto"/>
              <w:jc w:val="both"/>
              <w:rPr>
                <w:rFonts w:ascii="Times New Roman" w:hAnsi="Times New Roman" w:cs="Times New Roman"/>
                <w:color w:val="000000" w:themeColor="text1"/>
                <w:sz w:val="24"/>
                <w:szCs w:val="24"/>
                <w:u w:val="single"/>
              </w:rPr>
            </w:pPr>
          </w:p>
          <w:p w:rsidR="00FC579B" w:rsidRPr="000B51FF" w:rsidRDefault="00FC579B" w:rsidP="00FC579B">
            <w:pPr>
              <w:spacing w:after="0" w:line="240" w:lineRule="auto"/>
              <w:jc w:val="both"/>
              <w:rPr>
                <w:rFonts w:ascii="Times New Roman" w:hAnsi="Times New Roman" w:cs="Times New Roman"/>
                <w:color w:val="000000" w:themeColor="text1"/>
                <w:sz w:val="24"/>
                <w:szCs w:val="24"/>
                <w:u w:val="single"/>
              </w:rPr>
            </w:pPr>
            <w:r w:rsidRPr="000B51FF">
              <w:rPr>
                <w:rFonts w:ascii="Times New Roman" w:hAnsi="Times New Roman" w:cs="Times New Roman"/>
                <w:color w:val="000000" w:themeColor="text1"/>
                <w:sz w:val="24"/>
                <w:szCs w:val="24"/>
              </w:rPr>
              <w:t xml:space="preserve">13. </w:t>
            </w:r>
            <w:r w:rsidR="00CF4076" w:rsidRPr="000B51FF">
              <w:rPr>
                <w:rFonts w:ascii="Times New Roman" w:hAnsi="Times New Roman" w:cs="Times New Roman"/>
                <w:color w:val="000000" w:themeColor="text1"/>
                <w:sz w:val="24"/>
                <w:szCs w:val="24"/>
              </w:rPr>
              <w:t xml:space="preserve">Ir papildināts </w:t>
            </w:r>
            <w:r w:rsidRPr="000B51FF">
              <w:rPr>
                <w:rFonts w:ascii="Times New Roman" w:hAnsi="Times New Roman" w:cs="Times New Roman"/>
                <w:color w:val="000000" w:themeColor="text1"/>
                <w:sz w:val="24"/>
                <w:szCs w:val="24"/>
              </w:rPr>
              <w:t>Noteikumu 234.</w:t>
            </w:r>
            <w:r w:rsidR="00DF69CB" w:rsidRPr="000B51FF">
              <w:rPr>
                <w:rFonts w:ascii="Times New Roman" w:hAnsi="Times New Roman" w:cs="Times New Roman"/>
                <w:color w:val="000000" w:themeColor="text1"/>
                <w:sz w:val="24"/>
                <w:szCs w:val="24"/>
              </w:rPr>
              <w:t>punkts ar jaunu apakšpunktu</w:t>
            </w:r>
            <w:r w:rsidR="00CF4076" w:rsidRPr="000B51FF">
              <w:rPr>
                <w:rFonts w:ascii="Times New Roman" w:hAnsi="Times New Roman" w:cs="Times New Roman"/>
                <w:color w:val="000000" w:themeColor="text1"/>
                <w:sz w:val="24"/>
                <w:szCs w:val="24"/>
              </w:rPr>
              <w:t xml:space="preserve">, kas noteic, ka degradētās teritorijas ir nosakāmas kā teritorijas </w:t>
            </w:r>
            <w:r w:rsidRPr="000B51FF">
              <w:rPr>
                <w:rFonts w:ascii="Times New Roman" w:hAnsi="Times New Roman" w:cs="Times New Roman"/>
                <w:color w:val="000000" w:themeColor="text1"/>
                <w:sz w:val="24"/>
                <w:szCs w:val="24"/>
              </w:rPr>
              <w:t xml:space="preserve">ar </w:t>
            </w:r>
            <w:r w:rsidR="00CF4076" w:rsidRPr="000B51FF">
              <w:rPr>
                <w:rFonts w:ascii="Times New Roman" w:hAnsi="Times New Roman" w:cs="Times New Roman"/>
                <w:color w:val="000000" w:themeColor="text1"/>
                <w:sz w:val="24"/>
                <w:szCs w:val="24"/>
              </w:rPr>
              <w:t>īpašiem noteikumiem,</w:t>
            </w:r>
            <w:r w:rsidR="00DF69CB" w:rsidRPr="000B51FF">
              <w:rPr>
                <w:rFonts w:ascii="Times New Roman" w:hAnsi="Times New Roman" w:cs="Times New Roman"/>
                <w:color w:val="000000" w:themeColor="text1"/>
                <w:sz w:val="24"/>
                <w:szCs w:val="24"/>
              </w:rPr>
              <w:t xml:space="preserve"> atbilstoši</w:t>
            </w:r>
            <w:r w:rsidR="00A52043" w:rsidRPr="000B51FF">
              <w:rPr>
                <w:rFonts w:ascii="Times New Roman" w:hAnsi="Times New Roman" w:cs="Times New Roman"/>
                <w:color w:val="000000" w:themeColor="text1"/>
                <w:sz w:val="24"/>
                <w:szCs w:val="24"/>
              </w:rPr>
              <w:t xml:space="preserve"> papildin</w:t>
            </w:r>
            <w:r w:rsidR="00CF4076" w:rsidRPr="000B51FF">
              <w:rPr>
                <w:rFonts w:ascii="Times New Roman" w:hAnsi="Times New Roman" w:cs="Times New Roman"/>
                <w:color w:val="000000" w:themeColor="text1"/>
                <w:sz w:val="24"/>
                <w:szCs w:val="24"/>
              </w:rPr>
              <w:t xml:space="preserve">ot </w:t>
            </w:r>
            <w:r w:rsidRPr="000B51FF">
              <w:rPr>
                <w:rFonts w:ascii="Times New Roman" w:hAnsi="Times New Roman" w:cs="Times New Roman"/>
                <w:color w:val="000000" w:themeColor="text1"/>
                <w:sz w:val="24"/>
                <w:szCs w:val="24"/>
              </w:rPr>
              <w:t xml:space="preserve">Noteikumu </w:t>
            </w:r>
            <w:r w:rsidR="00CF4076" w:rsidRPr="000B51FF">
              <w:rPr>
                <w:rFonts w:ascii="Times New Roman" w:hAnsi="Times New Roman" w:cs="Times New Roman"/>
                <w:color w:val="000000" w:themeColor="text1"/>
                <w:sz w:val="24"/>
                <w:szCs w:val="24"/>
              </w:rPr>
              <w:t>1. pielikuma otro tabulu „II. Teritoriju ar īpašiem noteikumiem attēlošana”.</w:t>
            </w:r>
          </w:p>
          <w:p w:rsidR="00FC579B" w:rsidRPr="000B51FF" w:rsidRDefault="00FC579B" w:rsidP="00FC579B">
            <w:pPr>
              <w:spacing w:after="0" w:line="240" w:lineRule="auto"/>
              <w:jc w:val="both"/>
              <w:rPr>
                <w:rFonts w:ascii="Times New Roman" w:hAnsi="Times New Roman" w:cs="Times New Roman"/>
                <w:color w:val="000000" w:themeColor="text1"/>
                <w:sz w:val="24"/>
                <w:szCs w:val="24"/>
                <w:u w:val="single"/>
              </w:rPr>
            </w:pPr>
          </w:p>
          <w:p w:rsidR="00A94597" w:rsidRPr="000B51FF" w:rsidRDefault="00FC579B" w:rsidP="00FC579B">
            <w:pPr>
              <w:spacing w:after="0" w:line="240" w:lineRule="auto"/>
              <w:jc w:val="both"/>
              <w:rPr>
                <w:rFonts w:ascii="Times New Roman" w:hAnsi="Times New Roman" w:cs="Times New Roman"/>
                <w:color w:val="000000" w:themeColor="text1"/>
                <w:sz w:val="24"/>
                <w:szCs w:val="24"/>
                <w:u w:val="single"/>
              </w:rPr>
            </w:pPr>
            <w:r w:rsidRPr="00083924">
              <w:rPr>
                <w:rFonts w:ascii="Times New Roman" w:hAnsi="Times New Roman" w:cs="Times New Roman"/>
                <w:color w:val="000000" w:themeColor="text1"/>
                <w:sz w:val="24"/>
                <w:szCs w:val="24"/>
              </w:rPr>
              <w:t xml:space="preserve">14. </w:t>
            </w:r>
            <w:r w:rsidR="00CF4076" w:rsidRPr="00083924">
              <w:rPr>
                <w:rFonts w:ascii="Times New Roman" w:hAnsi="Times New Roman" w:cs="Times New Roman"/>
                <w:color w:val="000000" w:themeColor="text1"/>
                <w:sz w:val="24"/>
                <w:szCs w:val="24"/>
              </w:rPr>
              <w:t>Ņemot</w:t>
            </w:r>
            <w:r w:rsidR="00CF4076" w:rsidRPr="000B51FF">
              <w:rPr>
                <w:rFonts w:ascii="Times New Roman" w:hAnsi="Times New Roman" w:cs="Times New Roman"/>
                <w:color w:val="000000" w:themeColor="text1"/>
                <w:sz w:val="24"/>
                <w:szCs w:val="24"/>
              </w:rPr>
              <w:t xml:space="preserve"> vērā precizējumus funkcionālo zonās noteiktajās izmantošanās, atbilstoši papildināts un precizēts N</w:t>
            </w:r>
            <w:r w:rsidR="00511DBC" w:rsidRPr="000B51FF">
              <w:rPr>
                <w:rFonts w:ascii="Times New Roman" w:hAnsi="Times New Roman" w:cs="Times New Roman"/>
                <w:color w:val="000000" w:themeColor="text1"/>
                <w:sz w:val="24"/>
                <w:szCs w:val="24"/>
              </w:rPr>
              <w:t>oteikumu 3.pielikum</w:t>
            </w:r>
            <w:r w:rsidR="00CF4076" w:rsidRPr="000B51FF">
              <w:rPr>
                <w:rFonts w:ascii="Times New Roman" w:hAnsi="Times New Roman" w:cs="Times New Roman"/>
                <w:color w:val="000000" w:themeColor="text1"/>
                <w:sz w:val="24"/>
                <w:szCs w:val="24"/>
              </w:rPr>
              <w:t xml:space="preserve">s. </w:t>
            </w:r>
          </w:p>
        </w:tc>
      </w:tr>
      <w:tr w:rsidR="00C429E2" w:rsidRPr="000B51FF" w:rsidTr="00F968AE">
        <w:trPr>
          <w:trHeight w:val="310"/>
          <w:tblCellSpacing w:w="15" w:type="dxa"/>
        </w:trPr>
        <w:tc>
          <w:tcPr>
            <w:tcW w:w="246" w:type="pct"/>
            <w:tcBorders>
              <w:top w:val="outset" w:sz="6" w:space="0" w:color="auto"/>
              <w:left w:val="outset" w:sz="6" w:space="0" w:color="auto"/>
              <w:bottom w:val="outset" w:sz="6" w:space="0" w:color="auto"/>
              <w:right w:val="outset" w:sz="6" w:space="0" w:color="auto"/>
            </w:tcBorders>
            <w:hideMark/>
          </w:tcPr>
          <w:p w:rsidR="009717F4" w:rsidRPr="000B51FF" w:rsidRDefault="009717F4" w:rsidP="00541E3B">
            <w:pPr>
              <w:spacing w:after="0" w:line="240" w:lineRule="auto"/>
              <w:ind w:left="57" w:right="57"/>
              <w:jc w:val="center"/>
              <w:rPr>
                <w:rFonts w:ascii="Times New Roman" w:eastAsia="Times New Roman" w:hAnsi="Times New Roman" w:cs="Times New Roman"/>
                <w:color w:val="000000" w:themeColor="text1"/>
                <w:sz w:val="24"/>
                <w:szCs w:val="24"/>
                <w:lang w:eastAsia="lv-LV"/>
              </w:rPr>
            </w:pPr>
            <w:r w:rsidRPr="000B51FF">
              <w:rPr>
                <w:rFonts w:ascii="Times New Roman" w:eastAsia="Times New Roman" w:hAnsi="Times New Roman" w:cs="Times New Roman"/>
                <w:color w:val="000000" w:themeColor="text1"/>
                <w:sz w:val="24"/>
                <w:szCs w:val="24"/>
                <w:lang w:eastAsia="lv-LV"/>
              </w:rPr>
              <w:lastRenderedPageBreak/>
              <w:t>3.</w:t>
            </w:r>
          </w:p>
        </w:tc>
        <w:tc>
          <w:tcPr>
            <w:tcW w:w="1530" w:type="pct"/>
            <w:tcBorders>
              <w:top w:val="outset" w:sz="6" w:space="0" w:color="auto"/>
              <w:left w:val="outset" w:sz="6" w:space="0" w:color="auto"/>
              <w:bottom w:val="outset" w:sz="6" w:space="0" w:color="auto"/>
              <w:right w:val="outset" w:sz="6" w:space="0" w:color="auto"/>
            </w:tcBorders>
            <w:hideMark/>
          </w:tcPr>
          <w:p w:rsidR="009717F4" w:rsidRPr="000B51FF" w:rsidRDefault="009717F4" w:rsidP="00541E3B">
            <w:pPr>
              <w:spacing w:after="0" w:line="240" w:lineRule="auto"/>
              <w:ind w:left="57" w:right="57"/>
              <w:rPr>
                <w:rFonts w:ascii="Times New Roman" w:eastAsia="Times New Roman" w:hAnsi="Times New Roman" w:cs="Times New Roman"/>
                <w:color w:val="000000" w:themeColor="text1"/>
                <w:sz w:val="24"/>
                <w:szCs w:val="24"/>
                <w:lang w:eastAsia="lv-LV"/>
              </w:rPr>
            </w:pPr>
            <w:r w:rsidRPr="000B51FF">
              <w:rPr>
                <w:rFonts w:ascii="Times New Roman" w:eastAsia="Times New Roman" w:hAnsi="Times New Roman" w:cs="Times New Roman"/>
                <w:color w:val="000000" w:themeColor="text1"/>
                <w:sz w:val="24"/>
                <w:szCs w:val="24"/>
                <w:lang w:eastAsia="lv-LV"/>
              </w:rPr>
              <w:t>Projekta izstrādē iesaistītās institūcijas</w:t>
            </w:r>
          </w:p>
        </w:tc>
        <w:tc>
          <w:tcPr>
            <w:tcW w:w="3160" w:type="pct"/>
            <w:tcBorders>
              <w:top w:val="outset" w:sz="6" w:space="0" w:color="auto"/>
              <w:left w:val="outset" w:sz="6" w:space="0" w:color="auto"/>
              <w:bottom w:val="outset" w:sz="6" w:space="0" w:color="auto"/>
              <w:right w:val="outset" w:sz="6" w:space="0" w:color="auto"/>
            </w:tcBorders>
            <w:hideMark/>
          </w:tcPr>
          <w:p w:rsidR="009717F4" w:rsidRPr="000B51FF" w:rsidRDefault="007F4857" w:rsidP="00111213">
            <w:pPr>
              <w:spacing w:after="0" w:line="240" w:lineRule="auto"/>
              <w:ind w:left="57" w:right="57"/>
              <w:jc w:val="both"/>
              <w:rPr>
                <w:rFonts w:ascii="Times New Roman" w:eastAsia="Times New Roman" w:hAnsi="Times New Roman" w:cs="Times New Roman"/>
                <w:color w:val="000000" w:themeColor="text1"/>
                <w:sz w:val="24"/>
                <w:szCs w:val="24"/>
                <w:lang w:eastAsia="lv-LV"/>
              </w:rPr>
            </w:pPr>
            <w:r w:rsidRPr="000B51FF">
              <w:rPr>
                <w:rFonts w:ascii="Times New Roman" w:eastAsia="Times New Roman" w:hAnsi="Times New Roman" w:cs="Times New Roman"/>
                <w:color w:val="000000" w:themeColor="text1"/>
                <w:sz w:val="24"/>
                <w:szCs w:val="24"/>
                <w:lang w:eastAsia="lv-LV"/>
              </w:rPr>
              <w:t>Notikušas konsultācijas ar Valsts vides dienestu, p</w:t>
            </w:r>
            <w:r w:rsidR="00CF4076" w:rsidRPr="000B51FF">
              <w:rPr>
                <w:rFonts w:ascii="Times New Roman" w:eastAsia="Times New Roman" w:hAnsi="Times New Roman" w:cs="Times New Roman"/>
                <w:color w:val="000000" w:themeColor="text1"/>
                <w:sz w:val="24"/>
                <w:szCs w:val="24"/>
                <w:lang w:eastAsia="lv-LV"/>
              </w:rPr>
              <w:t xml:space="preserve">ašvaldībām, biedrību “Latvijas </w:t>
            </w:r>
            <w:proofErr w:type="spellStart"/>
            <w:r w:rsidR="00CF4076" w:rsidRPr="000B51FF">
              <w:rPr>
                <w:rFonts w:ascii="Times New Roman" w:eastAsia="Times New Roman" w:hAnsi="Times New Roman" w:cs="Times New Roman"/>
                <w:color w:val="000000" w:themeColor="text1"/>
                <w:sz w:val="24"/>
                <w:szCs w:val="24"/>
                <w:lang w:eastAsia="lv-LV"/>
              </w:rPr>
              <w:t>T</w:t>
            </w:r>
            <w:r w:rsidRPr="000B51FF">
              <w:rPr>
                <w:rFonts w:ascii="Times New Roman" w:eastAsia="Times New Roman" w:hAnsi="Times New Roman" w:cs="Times New Roman"/>
                <w:color w:val="000000" w:themeColor="text1"/>
                <w:sz w:val="24"/>
                <w:szCs w:val="24"/>
                <w:lang w:eastAsia="lv-LV"/>
              </w:rPr>
              <w:t>eritoriālplānotāju</w:t>
            </w:r>
            <w:proofErr w:type="spellEnd"/>
            <w:r w:rsidRPr="000B51FF">
              <w:rPr>
                <w:rFonts w:ascii="Times New Roman" w:eastAsia="Times New Roman" w:hAnsi="Times New Roman" w:cs="Times New Roman"/>
                <w:color w:val="000000" w:themeColor="text1"/>
                <w:sz w:val="24"/>
                <w:szCs w:val="24"/>
                <w:lang w:eastAsia="lv-LV"/>
              </w:rPr>
              <w:t xml:space="preserve"> asociācija”, </w:t>
            </w:r>
            <w:r w:rsidR="00CF4076" w:rsidRPr="000B51FF">
              <w:rPr>
                <w:rFonts w:ascii="Times New Roman" w:eastAsia="Times New Roman" w:hAnsi="Times New Roman" w:cs="Times New Roman"/>
                <w:color w:val="000000" w:themeColor="text1"/>
                <w:sz w:val="24"/>
                <w:szCs w:val="24"/>
                <w:lang w:eastAsia="lv-LV"/>
              </w:rPr>
              <w:t xml:space="preserve">biedrību </w:t>
            </w:r>
            <w:r w:rsidRPr="000B51FF">
              <w:rPr>
                <w:rFonts w:ascii="Times New Roman" w:eastAsia="Times New Roman" w:hAnsi="Times New Roman" w:cs="Times New Roman"/>
                <w:color w:val="000000" w:themeColor="text1"/>
                <w:sz w:val="24"/>
                <w:szCs w:val="24"/>
                <w:lang w:eastAsia="lv-LV"/>
              </w:rPr>
              <w:t xml:space="preserve">“Latvijas </w:t>
            </w:r>
            <w:r w:rsidR="00CF4076" w:rsidRPr="000B51FF">
              <w:rPr>
                <w:rFonts w:ascii="Times New Roman" w:eastAsia="Times New Roman" w:hAnsi="Times New Roman" w:cs="Times New Roman"/>
                <w:color w:val="000000" w:themeColor="text1"/>
                <w:sz w:val="24"/>
                <w:szCs w:val="24"/>
                <w:lang w:eastAsia="lv-LV"/>
              </w:rPr>
              <w:t>A</w:t>
            </w:r>
            <w:r w:rsidRPr="000B51FF">
              <w:rPr>
                <w:rFonts w:ascii="Times New Roman" w:eastAsia="Times New Roman" w:hAnsi="Times New Roman" w:cs="Times New Roman"/>
                <w:color w:val="000000" w:themeColor="text1"/>
                <w:sz w:val="24"/>
                <w:szCs w:val="24"/>
                <w:lang w:eastAsia="lv-LV"/>
              </w:rPr>
              <w:t>rhitektu savienība”</w:t>
            </w:r>
          </w:p>
        </w:tc>
      </w:tr>
      <w:tr w:rsidR="00C429E2" w:rsidRPr="000B51FF" w:rsidTr="00F968AE">
        <w:trPr>
          <w:tblCellSpacing w:w="15" w:type="dxa"/>
        </w:trPr>
        <w:tc>
          <w:tcPr>
            <w:tcW w:w="246" w:type="pct"/>
            <w:tcBorders>
              <w:top w:val="outset" w:sz="6" w:space="0" w:color="auto"/>
              <w:left w:val="outset" w:sz="6" w:space="0" w:color="auto"/>
              <w:bottom w:val="outset" w:sz="6" w:space="0" w:color="auto"/>
              <w:right w:val="outset" w:sz="6" w:space="0" w:color="auto"/>
            </w:tcBorders>
            <w:hideMark/>
          </w:tcPr>
          <w:p w:rsidR="009717F4" w:rsidRPr="000B51FF" w:rsidRDefault="009717F4" w:rsidP="00541E3B">
            <w:pPr>
              <w:spacing w:after="0" w:line="240" w:lineRule="auto"/>
              <w:ind w:left="57" w:right="57"/>
              <w:jc w:val="center"/>
              <w:rPr>
                <w:rFonts w:ascii="Times New Roman" w:eastAsia="Times New Roman" w:hAnsi="Times New Roman" w:cs="Times New Roman"/>
                <w:color w:val="000000" w:themeColor="text1"/>
                <w:sz w:val="24"/>
                <w:szCs w:val="24"/>
                <w:lang w:eastAsia="lv-LV"/>
              </w:rPr>
            </w:pPr>
            <w:r w:rsidRPr="000B51FF">
              <w:rPr>
                <w:rFonts w:ascii="Times New Roman" w:eastAsia="Times New Roman" w:hAnsi="Times New Roman" w:cs="Times New Roman"/>
                <w:color w:val="000000" w:themeColor="text1"/>
                <w:sz w:val="24"/>
                <w:szCs w:val="24"/>
                <w:lang w:eastAsia="lv-LV"/>
              </w:rPr>
              <w:t>4.</w:t>
            </w:r>
          </w:p>
        </w:tc>
        <w:tc>
          <w:tcPr>
            <w:tcW w:w="1530" w:type="pct"/>
            <w:tcBorders>
              <w:top w:val="outset" w:sz="6" w:space="0" w:color="auto"/>
              <w:left w:val="outset" w:sz="6" w:space="0" w:color="auto"/>
              <w:bottom w:val="outset" w:sz="6" w:space="0" w:color="auto"/>
              <w:right w:val="outset" w:sz="6" w:space="0" w:color="auto"/>
            </w:tcBorders>
            <w:hideMark/>
          </w:tcPr>
          <w:p w:rsidR="009717F4" w:rsidRPr="000B51FF" w:rsidRDefault="009717F4" w:rsidP="00541E3B">
            <w:pPr>
              <w:spacing w:after="0" w:line="240" w:lineRule="auto"/>
              <w:ind w:left="57" w:right="57"/>
              <w:rPr>
                <w:rFonts w:ascii="Times New Roman" w:eastAsia="Times New Roman" w:hAnsi="Times New Roman" w:cs="Times New Roman"/>
                <w:color w:val="000000" w:themeColor="text1"/>
                <w:sz w:val="24"/>
                <w:szCs w:val="24"/>
                <w:lang w:eastAsia="lv-LV"/>
              </w:rPr>
            </w:pPr>
            <w:r w:rsidRPr="000B51FF">
              <w:rPr>
                <w:rFonts w:ascii="Times New Roman" w:eastAsia="Times New Roman" w:hAnsi="Times New Roman" w:cs="Times New Roman"/>
                <w:color w:val="000000" w:themeColor="text1"/>
                <w:sz w:val="24"/>
                <w:szCs w:val="24"/>
                <w:lang w:eastAsia="lv-LV"/>
              </w:rPr>
              <w:t>Cita informācija</w:t>
            </w:r>
          </w:p>
        </w:tc>
        <w:tc>
          <w:tcPr>
            <w:tcW w:w="3160" w:type="pct"/>
            <w:tcBorders>
              <w:top w:val="outset" w:sz="6" w:space="0" w:color="auto"/>
              <w:left w:val="outset" w:sz="6" w:space="0" w:color="auto"/>
              <w:bottom w:val="outset" w:sz="6" w:space="0" w:color="auto"/>
              <w:right w:val="outset" w:sz="6" w:space="0" w:color="auto"/>
            </w:tcBorders>
            <w:hideMark/>
          </w:tcPr>
          <w:p w:rsidR="009717F4" w:rsidRPr="000B51FF" w:rsidRDefault="009717F4" w:rsidP="00541E3B">
            <w:pPr>
              <w:spacing w:after="0" w:line="240" w:lineRule="auto"/>
              <w:ind w:left="57" w:right="57"/>
              <w:rPr>
                <w:rFonts w:ascii="Times New Roman" w:eastAsia="Times New Roman" w:hAnsi="Times New Roman" w:cs="Times New Roman"/>
                <w:color w:val="000000" w:themeColor="text1"/>
                <w:sz w:val="24"/>
                <w:szCs w:val="24"/>
                <w:lang w:eastAsia="lv-LV"/>
              </w:rPr>
            </w:pPr>
            <w:r w:rsidRPr="000B51FF">
              <w:rPr>
                <w:rFonts w:ascii="Times New Roman" w:eastAsia="Times New Roman" w:hAnsi="Times New Roman" w:cs="Times New Roman"/>
                <w:color w:val="000000" w:themeColor="text1"/>
                <w:sz w:val="24"/>
                <w:szCs w:val="24"/>
                <w:lang w:eastAsia="lv-LV"/>
              </w:rPr>
              <w:t>Nav</w:t>
            </w:r>
          </w:p>
        </w:tc>
      </w:tr>
    </w:tbl>
    <w:p w:rsidR="009717F4" w:rsidRPr="000B51FF" w:rsidRDefault="009717F4" w:rsidP="009717F4">
      <w:pPr>
        <w:spacing w:after="0" w:line="240" w:lineRule="auto"/>
        <w:ind w:left="57" w:right="57"/>
        <w:rPr>
          <w:rFonts w:ascii="Times New Roman" w:hAnsi="Times New Roman" w:cs="Times New Roman"/>
          <w:color w:val="000000" w:themeColor="text1"/>
          <w:sz w:val="26"/>
          <w:szCs w:val="26"/>
        </w:rPr>
      </w:pPr>
    </w:p>
    <w:p w:rsidR="009717F4" w:rsidRPr="000B51FF" w:rsidRDefault="009717F4" w:rsidP="009717F4">
      <w:pPr>
        <w:spacing w:after="0" w:line="240" w:lineRule="auto"/>
        <w:ind w:left="57" w:right="57"/>
        <w:rPr>
          <w:rFonts w:ascii="Times New Roman" w:hAnsi="Times New Roman" w:cs="Times New Roman"/>
          <w:color w:val="000000" w:themeColor="text1"/>
          <w:sz w:val="26"/>
          <w:szCs w:val="26"/>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20" w:type="dxa"/>
          <w:left w:w="20" w:type="dxa"/>
          <w:bottom w:w="20" w:type="dxa"/>
          <w:right w:w="20" w:type="dxa"/>
        </w:tblCellMar>
        <w:tblLook w:val="04A0" w:firstRow="1" w:lastRow="0" w:firstColumn="1" w:lastColumn="0" w:noHBand="0" w:noVBand="1"/>
      </w:tblPr>
      <w:tblGrid>
        <w:gridCol w:w="504"/>
        <w:gridCol w:w="2888"/>
        <w:gridCol w:w="5946"/>
      </w:tblGrid>
      <w:tr w:rsidR="00C429E2" w:rsidRPr="000B51FF" w:rsidTr="00541E3B">
        <w:trPr>
          <w:trHeight w:val="370"/>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9717F4" w:rsidRPr="000B51FF" w:rsidRDefault="009717F4" w:rsidP="00541E3B">
            <w:pPr>
              <w:spacing w:after="0" w:line="240" w:lineRule="auto"/>
              <w:ind w:left="57" w:right="57"/>
              <w:jc w:val="center"/>
              <w:rPr>
                <w:rFonts w:ascii="Times New Roman" w:eastAsia="Times New Roman" w:hAnsi="Times New Roman" w:cs="Times New Roman"/>
                <w:b/>
                <w:bCs/>
                <w:color w:val="000000" w:themeColor="text1"/>
                <w:sz w:val="24"/>
                <w:szCs w:val="24"/>
                <w:lang w:eastAsia="lv-LV"/>
              </w:rPr>
            </w:pPr>
            <w:r w:rsidRPr="000B51FF">
              <w:rPr>
                <w:rFonts w:ascii="Times New Roman" w:eastAsia="Times New Roman" w:hAnsi="Times New Roman" w:cs="Times New Roman"/>
                <w:b/>
                <w:bCs/>
                <w:color w:val="000000" w:themeColor="text1"/>
                <w:sz w:val="24"/>
                <w:szCs w:val="24"/>
                <w:lang w:eastAsia="lv-LV"/>
              </w:rPr>
              <w:t>II. Tiesību akta projekta ietekme uz sabiedrību, tautsaimniecības attīstību un administratīvo slogu</w:t>
            </w:r>
          </w:p>
        </w:tc>
      </w:tr>
      <w:tr w:rsidR="00C429E2" w:rsidRPr="000B51FF" w:rsidTr="00541E3B">
        <w:trPr>
          <w:trHeight w:val="310"/>
          <w:tblCellSpacing w:w="15" w:type="dxa"/>
        </w:trPr>
        <w:tc>
          <w:tcPr>
            <w:tcW w:w="246" w:type="pct"/>
            <w:tcBorders>
              <w:top w:val="outset" w:sz="6" w:space="0" w:color="auto"/>
              <w:left w:val="outset" w:sz="6" w:space="0" w:color="auto"/>
              <w:bottom w:val="outset" w:sz="6" w:space="0" w:color="auto"/>
              <w:right w:val="outset" w:sz="6" w:space="0" w:color="auto"/>
            </w:tcBorders>
            <w:hideMark/>
          </w:tcPr>
          <w:p w:rsidR="009717F4" w:rsidRPr="000B51FF" w:rsidRDefault="009717F4" w:rsidP="00541E3B">
            <w:pPr>
              <w:spacing w:after="0" w:line="240" w:lineRule="auto"/>
              <w:ind w:left="57" w:right="57"/>
              <w:rPr>
                <w:rFonts w:ascii="Times New Roman" w:eastAsia="Times New Roman" w:hAnsi="Times New Roman" w:cs="Times New Roman"/>
                <w:color w:val="000000" w:themeColor="text1"/>
                <w:sz w:val="24"/>
                <w:szCs w:val="24"/>
                <w:lang w:eastAsia="lv-LV"/>
              </w:rPr>
            </w:pPr>
            <w:r w:rsidRPr="000B51FF">
              <w:rPr>
                <w:rFonts w:ascii="Times New Roman" w:eastAsia="Times New Roman" w:hAnsi="Times New Roman" w:cs="Times New Roman"/>
                <w:color w:val="000000" w:themeColor="text1"/>
                <w:sz w:val="24"/>
                <w:szCs w:val="24"/>
                <w:lang w:eastAsia="lv-LV"/>
              </w:rPr>
              <w:t>1.</w:t>
            </w:r>
          </w:p>
        </w:tc>
        <w:tc>
          <w:tcPr>
            <w:tcW w:w="1530" w:type="pct"/>
            <w:tcBorders>
              <w:top w:val="outset" w:sz="6" w:space="0" w:color="auto"/>
              <w:left w:val="outset" w:sz="6" w:space="0" w:color="auto"/>
              <w:bottom w:val="outset" w:sz="6" w:space="0" w:color="auto"/>
              <w:right w:val="outset" w:sz="6" w:space="0" w:color="auto"/>
            </w:tcBorders>
            <w:hideMark/>
          </w:tcPr>
          <w:p w:rsidR="009717F4" w:rsidRPr="000B51FF" w:rsidRDefault="009717F4" w:rsidP="00541E3B">
            <w:pPr>
              <w:spacing w:after="0" w:line="240" w:lineRule="auto"/>
              <w:ind w:left="57" w:right="57"/>
              <w:rPr>
                <w:rFonts w:ascii="Times New Roman" w:eastAsia="Times New Roman" w:hAnsi="Times New Roman" w:cs="Times New Roman"/>
                <w:color w:val="000000" w:themeColor="text1"/>
                <w:sz w:val="24"/>
                <w:szCs w:val="24"/>
                <w:lang w:eastAsia="lv-LV"/>
              </w:rPr>
            </w:pPr>
            <w:r w:rsidRPr="000B51FF">
              <w:rPr>
                <w:rFonts w:ascii="Times New Roman" w:eastAsia="Times New Roman" w:hAnsi="Times New Roman" w:cs="Times New Roman"/>
                <w:color w:val="000000" w:themeColor="text1"/>
                <w:sz w:val="24"/>
                <w:szCs w:val="24"/>
                <w:lang w:eastAsia="lv-LV"/>
              </w:rPr>
              <w:t>Sabiedrības mērķgrupas, kuras tiesiskais regulējums ietekmē vai varētu ietekmēt</w:t>
            </w:r>
          </w:p>
        </w:tc>
        <w:tc>
          <w:tcPr>
            <w:tcW w:w="3159" w:type="pct"/>
            <w:tcBorders>
              <w:top w:val="outset" w:sz="6" w:space="0" w:color="auto"/>
              <w:left w:val="outset" w:sz="6" w:space="0" w:color="auto"/>
              <w:bottom w:val="outset" w:sz="6" w:space="0" w:color="auto"/>
              <w:right w:val="outset" w:sz="6" w:space="0" w:color="auto"/>
            </w:tcBorders>
            <w:hideMark/>
          </w:tcPr>
          <w:p w:rsidR="00F122DB" w:rsidRPr="000B51FF" w:rsidRDefault="007F4857" w:rsidP="00CF4076">
            <w:pPr>
              <w:spacing w:after="0" w:line="240" w:lineRule="auto"/>
              <w:ind w:right="57"/>
              <w:jc w:val="both"/>
              <w:rPr>
                <w:rFonts w:ascii="Times New Roman" w:hAnsi="Times New Roman" w:cs="Times New Roman"/>
                <w:iCs/>
                <w:color w:val="000000" w:themeColor="text1"/>
                <w:sz w:val="24"/>
                <w:szCs w:val="24"/>
              </w:rPr>
            </w:pPr>
            <w:r w:rsidRPr="000B51FF">
              <w:rPr>
                <w:rFonts w:ascii="Times New Roman" w:hAnsi="Times New Roman" w:cs="Times New Roman"/>
                <w:iCs/>
                <w:color w:val="000000" w:themeColor="text1"/>
                <w:sz w:val="24"/>
                <w:szCs w:val="24"/>
              </w:rPr>
              <w:t>Pašvaldības</w:t>
            </w:r>
            <w:r w:rsidR="00CF4076" w:rsidRPr="000B51FF">
              <w:rPr>
                <w:rFonts w:ascii="Times New Roman" w:hAnsi="Times New Roman" w:cs="Times New Roman"/>
                <w:iCs/>
                <w:color w:val="000000" w:themeColor="text1"/>
                <w:sz w:val="24"/>
                <w:szCs w:val="24"/>
              </w:rPr>
              <w:t>,</w:t>
            </w:r>
            <w:r w:rsidRPr="000B51FF">
              <w:rPr>
                <w:rFonts w:ascii="Times New Roman" w:hAnsi="Times New Roman" w:cs="Times New Roman"/>
                <w:iCs/>
                <w:color w:val="000000" w:themeColor="text1"/>
                <w:sz w:val="24"/>
                <w:szCs w:val="24"/>
              </w:rPr>
              <w:t xml:space="preserve"> izstrādājot un īstenojot teritorijas plānojumus, </w:t>
            </w:r>
            <w:proofErr w:type="spellStart"/>
            <w:r w:rsidRPr="000B51FF">
              <w:rPr>
                <w:rFonts w:ascii="Times New Roman" w:hAnsi="Times New Roman" w:cs="Times New Roman"/>
                <w:iCs/>
                <w:color w:val="000000" w:themeColor="text1"/>
                <w:sz w:val="24"/>
                <w:szCs w:val="24"/>
              </w:rPr>
              <w:t>lokālplānojumus</w:t>
            </w:r>
            <w:proofErr w:type="spellEnd"/>
            <w:r w:rsidRPr="000B51FF">
              <w:rPr>
                <w:rFonts w:ascii="Times New Roman" w:hAnsi="Times New Roman" w:cs="Times New Roman"/>
                <w:iCs/>
                <w:color w:val="000000" w:themeColor="text1"/>
                <w:sz w:val="24"/>
                <w:szCs w:val="24"/>
              </w:rPr>
              <w:t xml:space="preserve"> un detālplānojumus, kā arī </w:t>
            </w:r>
            <w:r w:rsidR="00F122DB" w:rsidRPr="000B51FF">
              <w:rPr>
                <w:rFonts w:ascii="Times New Roman" w:hAnsi="Times New Roman" w:cs="Times New Roman"/>
                <w:iCs/>
                <w:color w:val="000000" w:themeColor="text1"/>
                <w:sz w:val="24"/>
                <w:szCs w:val="24"/>
              </w:rPr>
              <w:t xml:space="preserve">nodrošinot būvniecības procesa tiesiskumu. </w:t>
            </w:r>
          </w:p>
          <w:p w:rsidR="00F122DB" w:rsidRPr="000B51FF" w:rsidRDefault="009717F4" w:rsidP="00CF4076">
            <w:pPr>
              <w:spacing w:after="0" w:line="240" w:lineRule="auto"/>
              <w:ind w:right="57"/>
              <w:jc w:val="both"/>
              <w:rPr>
                <w:rFonts w:ascii="Times New Roman" w:eastAsia="Times New Roman" w:hAnsi="Times New Roman" w:cs="Times New Roman"/>
                <w:color w:val="000000" w:themeColor="text1"/>
                <w:sz w:val="24"/>
                <w:szCs w:val="24"/>
                <w:lang w:eastAsia="lv-LV"/>
              </w:rPr>
            </w:pPr>
            <w:r w:rsidRPr="000B51FF">
              <w:rPr>
                <w:rFonts w:ascii="Times New Roman" w:hAnsi="Times New Roman" w:cs="Times New Roman"/>
                <w:iCs/>
                <w:color w:val="000000" w:themeColor="text1"/>
                <w:sz w:val="24"/>
                <w:szCs w:val="24"/>
              </w:rPr>
              <w:t>Juridiska</w:t>
            </w:r>
            <w:r w:rsidR="00F122DB" w:rsidRPr="000B51FF">
              <w:rPr>
                <w:rFonts w:ascii="Times New Roman" w:hAnsi="Times New Roman" w:cs="Times New Roman"/>
                <w:iCs/>
                <w:color w:val="000000" w:themeColor="text1"/>
                <w:sz w:val="24"/>
                <w:szCs w:val="24"/>
              </w:rPr>
              <w:t>s</w:t>
            </w:r>
            <w:r w:rsidRPr="000B51FF">
              <w:rPr>
                <w:rFonts w:ascii="Times New Roman" w:hAnsi="Times New Roman" w:cs="Times New Roman"/>
                <w:iCs/>
                <w:color w:val="000000" w:themeColor="text1"/>
                <w:sz w:val="24"/>
                <w:szCs w:val="24"/>
              </w:rPr>
              <w:t xml:space="preserve"> </w:t>
            </w:r>
            <w:r w:rsidR="00F122DB" w:rsidRPr="000B51FF">
              <w:rPr>
                <w:rFonts w:ascii="Times New Roman" w:hAnsi="Times New Roman" w:cs="Times New Roman"/>
                <w:iCs/>
                <w:color w:val="000000" w:themeColor="text1"/>
                <w:sz w:val="24"/>
                <w:szCs w:val="24"/>
              </w:rPr>
              <w:t>un</w:t>
            </w:r>
            <w:r w:rsidRPr="000B51FF">
              <w:rPr>
                <w:rFonts w:ascii="Times New Roman" w:hAnsi="Times New Roman" w:cs="Times New Roman"/>
                <w:iCs/>
                <w:color w:val="000000" w:themeColor="text1"/>
                <w:sz w:val="24"/>
                <w:szCs w:val="24"/>
              </w:rPr>
              <w:t xml:space="preserve"> fiziska</w:t>
            </w:r>
            <w:r w:rsidR="00F122DB" w:rsidRPr="000B51FF">
              <w:rPr>
                <w:rFonts w:ascii="Times New Roman" w:hAnsi="Times New Roman" w:cs="Times New Roman"/>
                <w:iCs/>
                <w:color w:val="000000" w:themeColor="text1"/>
                <w:sz w:val="24"/>
                <w:szCs w:val="24"/>
              </w:rPr>
              <w:t>s</w:t>
            </w:r>
            <w:r w:rsidRPr="000B51FF">
              <w:rPr>
                <w:rFonts w:ascii="Times New Roman" w:hAnsi="Times New Roman" w:cs="Times New Roman"/>
                <w:iCs/>
                <w:color w:val="000000" w:themeColor="text1"/>
                <w:sz w:val="24"/>
                <w:szCs w:val="24"/>
              </w:rPr>
              <w:t xml:space="preserve"> persona</w:t>
            </w:r>
            <w:r w:rsidR="00F122DB" w:rsidRPr="000B51FF">
              <w:rPr>
                <w:rFonts w:ascii="Times New Roman" w:hAnsi="Times New Roman" w:cs="Times New Roman"/>
                <w:iCs/>
                <w:color w:val="000000" w:themeColor="text1"/>
                <w:sz w:val="24"/>
                <w:szCs w:val="24"/>
              </w:rPr>
              <w:t>s</w:t>
            </w:r>
            <w:r w:rsidRPr="000B51FF">
              <w:rPr>
                <w:rFonts w:ascii="Times New Roman" w:hAnsi="Times New Roman" w:cs="Times New Roman"/>
                <w:iCs/>
                <w:color w:val="000000" w:themeColor="text1"/>
                <w:sz w:val="24"/>
                <w:szCs w:val="24"/>
              </w:rPr>
              <w:t xml:space="preserve">, </w:t>
            </w:r>
            <w:r w:rsidR="00F122DB" w:rsidRPr="000B51FF">
              <w:rPr>
                <w:rFonts w:ascii="Times New Roman" w:hAnsi="Times New Roman" w:cs="Times New Roman"/>
                <w:iCs/>
                <w:color w:val="000000" w:themeColor="text1"/>
                <w:sz w:val="24"/>
                <w:szCs w:val="24"/>
              </w:rPr>
              <w:t xml:space="preserve">kas plāno vai īsteno sava īpašuma izmantošanu, tai skaitā </w:t>
            </w:r>
            <w:r w:rsidRPr="000B51FF">
              <w:rPr>
                <w:rFonts w:ascii="Times New Roman" w:eastAsia="Times New Roman" w:hAnsi="Times New Roman" w:cs="Times New Roman"/>
                <w:color w:val="000000" w:themeColor="text1"/>
                <w:sz w:val="24"/>
                <w:szCs w:val="24"/>
                <w:lang w:eastAsia="lv-LV"/>
              </w:rPr>
              <w:t>būvniecīb</w:t>
            </w:r>
            <w:r w:rsidR="00F122DB" w:rsidRPr="000B51FF">
              <w:rPr>
                <w:rFonts w:ascii="Times New Roman" w:eastAsia="Times New Roman" w:hAnsi="Times New Roman" w:cs="Times New Roman"/>
                <w:color w:val="000000" w:themeColor="text1"/>
                <w:sz w:val="24"/>
                <w:szCs w:val="24"/>
                <w:lang w:eastAsia="lv-LV"/>
              </w:rPr>
              <w:t>u.</w:t>
            </w:r>
          </w:p>
          <w:p w:rsidR="009717F4" w:rsidRPr="000B51FF" w:rsidRDefault="00F122DB" w:rsidP="00CF4076">
            <w:pPr>
              <w:spacing w:after="0" w:line="240" w:lineRule="auto"/>
              <w:ind w:right="57"/>
              <w:jc w:val="both"/>
              <w:rPr>
                <w:rFonts w:ascii="Times New Roman" w:eastAsia="Times New Roman" w:hAnsi="Times New Roman" w:cs="Times New Roman"/>
                <w:color w:val="000000" w:themeColor="text1"/>
                <w:sz w:val="24"/>
                <w:szCs w:val="24"/>
                <w:lang w:eastAsia="lv-LV"/>
              </w:rPr>
            </w:pPr>
            <w:r w:rsidRPr="000B51FF">
              <w:rPr>
                <w:rFonts w:ascii="Times New Roman" w:eastAsia="Times New Roman" w:hAnsi="Times New Roman" w:cs="Times New Roman"/>
                <w:color w:val="000000" w:themeColor="text1"/>
                <w:sz w:val="24"/>
                <w:szCs w:val="24"/>
                <w:lang w:eastAsia="lv-LV"/>
              </w:rPr>
              <w:t xml:space="preserve">Teritorijas plānotājus, arhitektus un citus ekspertus, kas izstrādā teritorijas plānojumus, </w:t>
            </w:r>
            <w:proofErr w:type="spellStart"/>
            <w:r w:rsidRPr="000B51FF">
              <w:rPr>
                <w:rFonts w:ascii="Times New Roman" w:eastAsia="Times New Roman" w:hAnsi="Times New Roman" w:cs="Times New Roman"/>
                <w:color w:val="000000" w:themeColor="text1"/>
                <w:sz w:val="24"/>
                <w:szCs w:val="24"/>
                <w:lang w:eastAsia="lv-LV"/>
              </w:rPr>
              <w:t>lokālplānojumus</w:t>
            </w:r>
            <w:proofErr w:type="spellEnd"/>
            <w:r w:rsidRPr="000B51FF">
              <w:rPr>
                <w:rFonts w:ascii="Times New Roman" w:eastAsia="Times New Roman" w:hAnsi="Times New Roman" w:cs="Times New Roman"/>
                <w:color w:val="000000" w:themeColor="text1"/>
                <w:sz w:val="24"/>
                <w:szCs w:val="24"/>
                <w:lang w:eastAsia="lv-LV"/>
              </w:rPr>
              <w:t>, detālplānojumus</w:t>
            </w:r>
            <w:r w:rsidR="009717F4" w:rsidRPr="000B51FF">
              <w:rPr>
                <w:rFonts w:ascii="Times New Roman" w:eastAsia="Times New Roman" w:hAnsi="Times New Roman" w:cs="Times New Roman"/>
                <w:color w:val="000000" w:themeColor="text1"/>
                <w:sz w:val="24"/>
                <w:szCs w:val="24"/>
                <w:lang w:eastAsia="lv-LV"/>
              </w:rPr>
              <w:t xml:space="preserve"> </w:t>
            </w:r>
            <w:r w:rsidRPr="000B51FF">
              <w:rPr>
                <w:rFonts w:ascii="Times New Roman" w:eastAsia="Times New Roman" w:hAnsi="Times New Roman" w:cs="Times New Roman"/>
                <w:color w:val="000000" w:themeColor="text1"/>
                <w:sz w:val="24"/>
                <w:szCs w:val="24"/>
                <w:lang w:eastAsia="lv-LV"/>
              </w:rPr>
              <w:t>vai būvprojektus.</w:t>
            </w:r>
          </w:p>
        </w:tc>
      </w:tr>
      <w:tr w:rsidR="00C429E2" w:rsidRPr="000B51FF" w:rsidTr="00541E3B">
        <w:trPr>
          <w:trHeight w:val="340"/>
          <w:tblCellSpacing w:w="15" w:type="dxa"/>
        </w:trPr>
        <w:tc>
          <w:tcPr>
            <w:tcW w:w="246" w:type="pct"/>
            <w:tcBorders>
              <w:top w:val="outset" w:sz="6" w:space="0" w:color="auto"/>
              <w:left w:val="outset" w:sz="6" w:space="0" w:color="auto"/>
              <w:bottom w:val="outset" w:sz="6" w:space="0" w:color="auto"/>
              <w:right w:val="outset" w:sz="6" w:space="0" w:color="auto"/>
            </w:tcBorders>
            <w:hideMark/>
          </w:tcPr>
          <w:p w:rsidR="009717F4" w:rsidRPr="000B51FF" w:rsidRDefault="009717F4" w:rsidP="00541E3B">
            <w:pPr>
              <w:spacing w:after="0" w:line="240" w:lineRule="auto"/>
              <w:ind w:left="57" w:right="57"/>
              <w:rPr>
                <w:rFonts w:ascii="Times New Roman" w:eastAsia="Times New Roman" w:hAnsi="Times New Roman" w:cs="Times New Roman"/>
                <w:color w:val="000000" w:themeColor="text1"/>
                <w:sz w:val="24"/>
                <w:szCs w:val="24"/>
                <w:lang w:eastAsia="lv-LV"/>
              </w:rPr>
            </w:pPr>
            <w:r w:rsidRPr="000B51FF">
              <w:rPr>
                <w:rFonts w:ascii="Times New Roman" w:eastAsia="Times New Roman" w:hAnsi="Times New Roman" w:cs="Times New Roman"/>
                <w:color w:val="000000" w:themeColor="text1"/>
                <w:sz w:val="24"/>
                <w:szCs w:val="24"/>
                <w:lang w:eastAsia="lv-LV"/>
              </w:rPr>
              <w:t>2.</w:t>
            </w:r>
          </w:p>
        </w:tc>
        <w:tc>
          <w:tcPr>
            <w:tcW w:w="1530" w:type="pct"/>
            <w:tcBorders>
              <w:top w:val="outset" w:sz="6" w:space="0" w:color="auto"/>
              <w:left w:val="outset" w:sz="6" w:space="0" w:color="auto"/>
              <w:bottom w:val="outset" w:sz="6" w:space="0" w:color="auto"/>
              <w:right w:val="outset" w:sz="6" w:space="0" w:color="auto"/>
            </w:tcBorders>
            <w:hideMark/>
          </w:tcPr>
          <w:p w:rsidR="009717F4" w:rsidRPr="000B51FF" w:rsidRDefault="009717F4" w:rsidP="00541E3B">
            <w:pPr>
              <w:spacing w:after="0" w:line="240" w:lineRule="auto"/>
              <w:ind w:left="57" w:right="57"/>
              <w:rPr>
                <w:rFonts w:ascii="Times New Roman" w:eastAsia="Times New Roman" w:hAnsi="Times New Roman" w:cs="Times New Roman"/>
                <w:color w:val="000000" w:themeColor="text1"/>
                <w:sz w:val="24"/>
                <w:szCs w:val="24"/>
                <w:lang w:eastAsia="lv-LV"/>
              </w:rPr>
            </w:pPr>
            <w:r w:rsidRPr="000B51FF">
              <w:rPr>
                <w:rFonts w:ascii="Times New Roman" w:eastAsia="Times New Roman" w:hAnsi="Times New Roman" w:cs="Times New Roman"/>
                <w:color w:val="000000" w:themeColor="text1"/>
                <w:sz w:val="24"/>
                <w:szCs w:val="24"/>
                <w:lang w:eastAsia="lv-LV"/>
              </w:rPr>
              <w:t>Tiesiskā regulējuma ietekme uz tautsaimniecību un administratīvo slogu</w:t>
            </w:r>
          </w:p>
        </w:tc>
        <w:tc>
          <w:tcPr>
            <w:tcW w:w="3159" w:type="pct"/>
            <w:tcBorders>
              <w:top w:val="outset" w:sz="6" w:space="0" w:color="auto"/>
              <w:left w:val="outset" w:sz="6" w:space="0" w:color="auto"/>
              <w:bottom w:val="outset" w:sz="6" w:space="0" w:color="auto"/>
              <w:right w:val="outset" w:sz="6" w:space="0" w:color="auto"/>
            </w:tcBorders>
            <w:hideMark/>
          </w:tcPr>
          <w:p w:rsidR="009717F4" w:rsidRPr="000B51FF" w:rsidRDefault="009717F4" w:rsidP="00541E3B">
            <w:pPr>
              <w:spacing w:after="0" w:line="240" w:lineRule="auto"/>
              <w:ind w:left="57" w:right="57"/>
              <w:rPr>
                <w:rFonts w:ascii="Times New Roman" w:eastAsia="Times New Roman" w:hAnsi="Times New Roman" w:cs="Times New Roman"/>
                <w:color w:val="000000" w:themeColor="text1"/>
                <w:sz w:val="24"/>
                <w:szCs w:val="24"/>
                <w:lang w:eastAsia="lv-LV"/>
              </w:rPr>
            </w:pPr>
            <w:r w:rsidRPr="000B51FF">
              <w:rPr>
                <w:rFonts w:ascii="Times New Roman" w:eastAsia="Times New Roman" w:hAnsi="Times New Roman" w:cs="Times New Roman"/>
                <w:color w:val="000000" w:themeColor="text1"/>
                <w:sz w:val="24"/>
                <w:szCs w:val="24"/>
                <w:lang w:eastAsia="lv-LV"/>
              </w:rPr>
              <w:t xml:space="preserve">Nav ietekmes uz tautsaimniecību un </w:t>
            </w:r>
            <w:r w:rsidRPr="000B51FF">
              <w:rPr>
                <w:rFonts w:ascii="Times New Roman" w:hAnsi="Times New Roman" w:cs="Times New Roman"/>
                <w:color w:val="000000" w:themeColor="text1"/>
                <w:sz w:val="24"/>
                <w:szCs w:val="24"/>
              </w:rPr>
              <w:t>sabiedrības grupām</w:t>
            </w:r>
            <w:proofErr w:type="gramStart"/>
            <w:r w:rsidRPr="000B51FF">
              <w:rPr>
                <w:rFonts w:ascii="Times New Roman" w:hAnsi="Times New Roman" w:cs="Times New Roman"/>
                <w:color w:val="000000" w:themeColor="text1"/>
                <w:sz w:val="24"/>
                <w:szCs w:val="24"/>
              </w:rPr>
              <w:t xml:space="preserve"> un</w:t>
            </w:r>
            <w:proofErr w:type="gramEnd"/>
            <w:r w:rsidRPr="000B51FF">
              <w:rPr>
                <w:rFonts w:ascii="Times New Roman" w:hAnsi="Times New Roman" w:cs="Times New Roman"/>
                <w:color w:val="000000" w:themeColor="text1"/>
                <w:sz w:val="24"/>
                <w:szCs w:val="24"/>
              </w:rPr>
              <w:t xml:space="preserve"> institūcijām projekta tiesiskais regulējums nemaina tiesības un pienākumus, kā arī veicamās darbības.</w:t>
            </w:r>
          </w:p>
        </w:tc>
      </w:tr>
      <w:tr w:rsidR="00C429E2" w:rsidRPr="000B51FF" w:rsidTr="00541E3B">
        <w:trPr>
          <w:trHeight w:val="340"/>
          <w:tblCellSpacing w:w="15" w:type="dxa"/>
        </w:trPr>
        <w:tc>
          <w:tcPr>
            <w:tcW w:w="246" w:type="pct"/>
            <w:tcBorders>
              <w:top w:val="outset" w:sz="6" w:space="0" w:color="auto"/>
              <w:left w:val="outset" w:sz="6" w:space="0" w:color="auto"/>
              <w:bottom w:val="outset" w:sz="6" w:space="0" w:color="auto"/>
              <w:right w:val="outset" w:sz="6" w:space="0" w:color="auto"/>
            </w:tcBorders>
            <w:hideMark/>
          </w:tcPr>
          <w:p w:rsidR="009717F4" w:rsidRPr="000B51FF" w:rsidRDefault="009717F4" w:rsidP="00541E3B">
            <w:pPr>
              <w:spacing w:after="0" w:line="240" w:lineRule="auto"/>
              <w:ind w:left="57" w:right="57"/>
              <w:rPr>
                <w:rFonts w:ascii="Times New Roman" w:eastAsia="Times New Roman" w:hAnsi="Times New Roman" w:cs="Times New Roman"/>
                <w:color w:val="000000" w:themeColor="text1"/>
                <w:sz w:val="24"/>
                <w:szCs w:val="24"/>
                <w:lang w:eastAsia="lv-LV"/>
              </w:rPr>
            </w:pPr>
            <w:r w:rsidRPr="000B51FF">
              <w:rPr>
                <w:rFonts w:ascii="Times New Roman" w:eastAsia="Times New Roman" w:hAnsi="Times New Roman" w:cs="Times New Roman"/>
                <w:color w:val="000000" w:themeColor="text1"/>
                <w:sz w:val="24"/>
                <w:szCs w:val="24"/>
                <w:lang w:eastAsia="lv-LV"/>
              </w:rPr>
              <w:t>3.</w:t>
            </w:r>
          </w:p>
        </w:tc>
        <w:tc>
          <w:tcPr>
            <w:tcW w:w="1530" w:type="pct"/>
            <w:tcBorders>
              <w:top w:val="outset" w:sz="6" w:space="0" w:color="auto"/>
              <w:left w:val="outset" w:sz="6" w:space="0" w:color="auto"/>
              <w:bottom w:val="outset" w:sz="6" w:space="0" w:color="auto"/>
              <w:right w:val="outset" w:sz="6" w:space="0" w:color="auto"/>
            </w:tcBorders>
            <w:hideMark/>
          </w:tcPr>
          <w:p w:rsidR="009717F4" w:rsidRPr="000B51FF" w:rsidRDefault="009717F4" w:rsidP="00541E3B">
            <w:pPr>
              <w:spacing w:after="0" w:line="240" w:lineRule="auto"/>
              <w:ind w:left="57" w:right="57"/>
              <w:rPr>
                <w:rFonts w:ascii="Times New Roman" w:eastAsia="Times New Roman" w:hAnsi="Times New Roman" w:cs="Times New Roman"/>
                <w:color w:val="000000" w:themeColor="text1"/>
                <w:sz w:val="24"/>
                <w:szCs w:val="24"/>
                <w:lang w:eastAsia="lv-LV"/>
              </w:rPr>
            </w:pPr>
            <w:r w:rsidRPr="000B51FF">
              <w:rPr>
                <w:rFonts w:ascii="Times New Roman" w:eastAsia="Times New Roman" w:hAnsi="Times New Roman" w:cs="Times New Roman"/>
                <w:color w:val="000000" w:themeColor="text1"/>
                <w:sz w:val="24"/>
                <w:szCs w:val="24"/>
                <w:lang w:eastAsia="lv-LV"/>
              </w:rPr>
              <w:t>Administratīvo izmaksu monetārs novērtējums</w:t>
            </w:r>
          </w:p>
        </w:tc>
        <w:tc>
          <w:tcPr>
            <w:tcW w:w="3159" w:type="pct"/>
            <w:tcBorders>
              <w:top w:val="outset" w:sz="6" w:space="0" w:color="auto"/>
              <w:left w:val="outset" w:sz="6" w:space="0" w:color="auto"/>
              <w:bottom w:val="outset" w:sz="6" w:space="0" w:color="auto"/>
              <w:right w:val="outset" w:sz="6" w:space="0" w:color="auto"/>
            </w:tcBorders>
            <w:hideMark/>
          </w:tcPr>
          <w:p w:rsidR="009717F4" w:rsidRPr="000B51FF" w:rsidRDefault="009717F4" w:rsidP="00541E3B">
            <w:pPr>
              <w:spacing w:after="0" w:line="240" w:lineRule="auto"/>
              <w:ind w:left="57" w:right="57"/>
              <w:rPr>
                <w:rFonts w:ascii="Times New Roman" w:eastAsia="Times New Roman" w:hAnsi="Times New Roman" w:cs="Times New Roman"/>
                <w:color w:val="000000" w:themeColor="text1"/>
                <w:sz w:val="24"/>
                <w:szCs w:val="24"/>
                <w:lang w:eastAsia="lv-LV"/>
              </w:rPr>
            </w:pPr>
            <w:r w:rsidRPr="000B51FF">
              <w:rPr>
                <w:rFonts w:ascii="Times New Roman" w:eastAsia="Times New Roman" w:hAnsi="Times New Roman" w:cs="Times New Roman"/>
                <w:color w:val="000000" w:themeColor="text1"/>
                <w:sz w:val="24"/>
                <w:szCs w:val="24"/>
                <w:lang w:eastAsia="lv-LV"/>
              </w:rPr>
              <w:t>Nav mainītas administratīvās izmaksas</w:t>
            </w:r>
          </w:p>
        </w:tc>
      </w:tr>
      <w:tr w:rsidR="009717F4" w:rsidRPr="000B51FF" w:rsidTr="00541E3B">
        <w:trPr>
          <w:trHeight w:val="230"/>
          <w:tblCellSpacing w:w="15" w:type="dxa"/>
        </w:trPr>
        <w:tc>
          <w:tcPr>
            <w:tcW w:w="246" w:type="pct"/>
            <w:tcBorders>
              <w:top w:val="outset" w:sz="6" w:space="0" w:color="auto"/>
              <w:left w:val="outset" w:sz="6" w:space="0" w:color="auto"/>
              <w:bottom w:val="outset" w:sz="6" w:space="0" w:color="auto"/>
              <w:right w:val="outset" w:sz="6" w:space="0" w:color="auto"/>
            </w:tcBorders>
            <w:hideMark/>
          </w:tcPr>
          <w:p w:rsidR="009717F4" w:rsidRPr="000B51FF" w:rsidRDefault="009717F4" w:rsidP="00541E3B">
            <w:pPr>
              <w:spacing w:after="0" w:line="240" w:lineRule="auto"/>
              <w:ind w:left="57" w:right="57"/>
              <w:rPr>
                <w:rFonts w:ascii="Times New Roman" w:eastAsia="Times New Roman" w:hAnsi="Times New Roman" w:cs="Times New Roman"/>
                <w:color w:val="000000" w:themeColor="text1"/>
                <w:sz w:val="24"/>
                <w:szCs w:val="24"/>
                <w:lang w:eastAsia="lv-LV"/>
              </w:rPr>
            </w:pPr>
            <w:r w:rsidRPr="000B51FF">
              <w:rPr>
                <w:rFonts w:ascii="Times New Roman" w:eastAsia="Times New Roman" w:hAnsi="Times New Roman" w:cs="Times New Roman"/>
                <w:color w:val="000000" w:themeColor="text1"/>
                <w:sz w:val="24"/>
                <w:szCs w:val="24"/>
                <w:lang w:eastAsia="lv-LV"/>
              </w:rPr>
              <w:t>4.</w:t>
            </w:r>
          </w:p>
        </w:tc>
        <w:tc>
          <w:tcPr>
            <w:tcW w:w="1530" w:type="pct"/>
            <w:tcBorders>
              <w:top w:val="outset" w:sz="6" w:space="0" w:color="auto"/>
              <w:left w:val="outset" w:sz="6" w:space="0" w:color="auto"/>
              <w:bottom w:val="outset" w:sz="6" w:space="0" w:color="auto"/>
              <w:right w:val="outset" w:sz="6" w:space="0" w:color="auto"/>
            </w:tcBorders>
            <w:hideMark/>
          </w:tcPr>
          <w:p w:rsidR="009717F4" w:rsidRPr="000B51FF" w:rsidRDefault="009717F4" w:rsidP="00541E3B">
            <w:pPr>
              <w:spacing w:after="0" w:line="240" w:lineRule="auto"/>
              <w:ind w:left="57" w:right="57"/>
              <w:rPr>
                <w:rFonts w:ascii="Times New Roman" w:eastAsia="Times New Roman" w:hAnsi="Times New Roman" w:cs="Times New Roman"/>
                <w:color w:val="000000" w:themeColor="text1"/>
                <w:sz w:val="24"/>
                <w:szCs w:val="24"/>
                <w:lang w:eastAsia="lv-LV"/>
              </w:rPr>
            </w:pPr>
            <w:r w:rsidRPr="000B51FF">
              <w:rPr>
                <w:rFonts w:ascii="Times New Roman" w:eastAsia="Times New Roman" w:hAnsi="Times New Roman" w:cs="Times New Roman"/>
                <w:color w:val="000000" w:themeColor="text1"/>
                <w:sz w:val="24"/>
                <w:szCs w:val="24"/>
                <w:lang w:eastAsia="lv-LV"/>
              </w:rPr>
              <w:t>Cita informācija</w:t>
            </w:r>
          </w:p>
        </w:tc>
        <w:tc>
          <w:tcPr>
            <w:tcW w:w="3159" w:type="pct"/>
            <w:tcBorders>
              <w:top w:val="outset" w:sz="6" w:space="0" w:color="auto"/>
              <w:left w:val="outset" w:sz="6" w:space="0" w:color="auto"/>
              <w:bottom w:val="outset" w:sz="6" w:space="0" w:color="auto"/>
              <w:right w:val="outset" w:sz="6" w:space="0" w:color="auto"/>
            </w:tcBorders>
            <w:hideMark/>
          </w:tcPr>
          <w:p w:rsidR="009717F4" w:rsidRPr="000B51FF" w:rsidRDefault="009717F4" w:rsidP="00541E3B">
            <w:pPr>
              <w:spacing w:after="0" w:line="240" w:lineRule="auto"/>
              <w:ind w:left="57" w:right="57"/>
              <w:rPr>
                <w:rFonts w:ascii="Times New Roman" w:eastAsia="Times New Roman" w:hAnsi="Times New Roman" w:cs="Times New Roman"/>
                <w:color w:val="000000" w:themeColor="text1"/>
                <w:sz w:val="24"/>
                <w:szCs w:val="24"/>
                <w:lang w:eastAsia="lv-LV"/>
              </w:rPr>
            </w:pPr>
            <w:r w:rsidRPr="000B51FF">
              <w:rPr>
                <w:rFonts w:ascii="Times New Roman" w:eastAsia="Times New Roman" w:hAnsi="Times New Roman" w:cs="Times New Roman"/>
                <w:color w:val="000000" w:themeColor="text1"/>
                <w:sz w:val="24"/>
                <w:szCs w:val="24"/>
                <w:lang w:eastAsia="lv-LV"/>
              </w:rPr>
              <w:t>Nav</w:t>
            </w:r>
          </w:p>
        </w:tc>
      </w:tr>
    </w:tbl>
    <w:p w:rsidR="009717F4" w:rsidRPr="000B51FF" w:rsidRDefault="009717F4" w:rsidP="009717F4">
      <w:pPr>
        <w:spacing w:after="0" w:line="240" w:lineRule="auto"/>
        <w:ind w:left="57" w:right="57"/>
        <w:rPr>
          <w:rFonts w:ascii="Times New Roman" w:hAnsi="Times New Roman" w:cs="Times New Roman"/>
          <w:color w:val="000000" w:themeColor="text1"/>
          <w:sz w:val="26"/>
          <w:szCs w:val="26"/>
        </w:rPr>
      </w:pPr>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20" w:type="dxa"/>
          <w:left w:w="20" w:type="dxa"/>
          <w:bottom w:w="20" w:type="dxa"/>
          <w:right w:w="20" w:type="dxa"/>
        </w:tblCellMar>
        <w:tblLook w:val="04A0" w:firstRow="1" w:lastRow="0" w:firstColumn="1" w:lastColumn="0" w:noHBand="0" w:noVBand="1"/>
      </w:tblPr>
      <w:tblGrid>
        <w:gridCol w:w="506"/>
        <w:gridCol w:w="2795"/>
        <w:gridCol w:w="6037"/>
      </w:tblGrid>
      <w:tr w:rsidR="00C429E2" w:rsidRPr="000B51FF" w:rsidTr="00541E3B">
        <w:trPr>
          <w:trHeight w:val="280"/>
          <w:tblCellSpacing w:w="15" w:type="dxa"/>
          <w:jc w:val="center"/>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9717F4" w:rsidRPr="000B51FF" w:rsidRDefault="009717F4" w:rsidP="00541E3B">
            <w:pPr>
              <w:spacing w:after="0" w:line="240" w:lineRule="auto"/>
              <w:ind w:left="57" w:right="57"/>
              <w:jc w:val="center"/>
              <w:rPr>
                <w:rFonts w:ascii="Times New Roman" w:eastAsia="Times New Roman" w:hAnsi="Times New Roman" w:cs="Times New Roman"/>
                <w:b/>
                <w:bCs/>
                <w:color w:val="000000" w:themeColor="text1"/>
                <w:sz w:val="24"/>
                <w:szCs w:val="24"/>
                <w:lang w:eastAsia="lv-LV"/>
              </w:rPr>
            </w:pPr>
            <w:r w:rsidRPr="000B51FF">
              <w:rPr>
                <w:rFonts w:ascii="Times New Roman" w:eastAsia="Times New Roman" w:hAnsi="Times New Roman" w:cs="Times New Roman"/>
                <w:b/>
                <w:bCs/>
                <w:color w:val="000000" w:themeColor="text1"/>
                <w:sz w:val="24"/>
                <w:szCs w:val="24"/>
                <w:lang w:eastAsia="lv-LV"/>
              </w:rPr>
              <w:lastRenderedPageBreak/>
              <w:t>VI. Sabiedrības līdzdalība un komunikācijas aktivitātes</w:t>
            </w:r>
          </w:p>
        </w:tc>
      </w:tr>
      <w:tr w:rsidR="00C429E2" w:rsidRPr="000B51FF" w:rsidTr="00541E3B">
        <w:trPr>
          <w:trHeight w:val="360"/>
          <w:tblCellSpacing w:w="15" w:type="dxa"/>
          <w:jc w:val="center"/>
        </w:trPr>
        <w:tc>
          <w:tcPr>
            <w:tcW w:w="247" w:type="pct"/>
            <w:tcBorders>
              <w:top w:val="outset" w:sz="6" w:space="0" w:color="auto"/>
              <w:left w:val="outset" w:sz="6" w:space="0" w:color="auto"/>
              <w:bottom w:val="outset" w:sz="6" w:space="0" w:color="auto"/>
              <w:right w:val="outset" w:sz="6" w:space="0" w:color="auto"/>
            </w:tcBorders>
            <w:hideMark/>
          </w:tcPr>
          <w:p w:rsidR="009717F4" w:rsidRPr="000B51FF" w:rsidRDefault="009717F4" w:rsidP="00541E3B">
            <w:pPr>
              <w:spacing w:after="0" w:line="240" w:lineRule="auto"/>
              <w:ind w:left="57" w:right="57"/>
              <w:rPr>
                <w:rFonts w:ascii="Times New Roman" w:eastAsia="Times New Roman" w:hAnsi="Times New Roman" w:cs="Times New Roman"/>
                <w:color w:val="000000" w:themeColor="text1"/>
                <w:sz w:val="24"/>
                <w:szCs w:val="24"/>
                <w:lang w:eastAsia="lv-LV"/>
              </w:rPr>
            </w:pPr>
            <w:r w:rsidRPr="000B51FF">
              <w:rPr>
                <w:rFonts w:ascii="Times New Roman" w:eastAsia="Times New Roman" w:hAnsi="Times New Roman" w:cs="Times New Roman"/>
                <w:color w:val="000000" w:themeColor="text1"/>
                <w:sz w:val="24"/>
                <w:szCs w:val="24"/>
                <w:lang w:eastAsia="lv-LV"/>
              </w:rPr>
              <w:t>1.</w:t>
            </w:r>
          </w:p>
        </w:tc>
        <w:tc>
          <w:tcPr>
            <w:tcW w:w="1481" w:type="pct"/>
            <w:tcBorders>
              <w:top w:val="outset" w:sz="6" w:space="0" w:color="auto"/>
              <w:left w:val="outset" w:sz="6" w:space="0" w:color="auto"/>
              <w:bottom w:val="outset" w:sz="6" w:space="0" w:color="auto"/>
              <w:right w:val="outset" w:sz="6" w:space="0" w:color="auto"/>
            </w:tcBorders>
            <w:hideMark/>
          </w:tcPr>
          <w:p w:rsidR="009717F4" w:rsidRPr="000B51FF" w:rsidRDefault="009717F4" w:rsidP="00541E3B">
            <w:pPr>
              <w:spacing w:after="0" w:line="240" w:lineRule="auto"/>
              <w:ind w:left="57" w:right="57"/>
              <w:rPr>
                <w:rFonts w:ascii="Times New Roman" w:eastAsia="Times New Roman" w:hAnsi="Times New Roman" w:cs="Times New Roman"/>
                <w:color w:val="000000" w:themeColor="text1"/>
                <w:sz w:val="24"/>
                <w:szCs w:val="24"/>
                <w:lang w:eastAsia="lv-LV"/>
              </w:rPr>
            </w:pPr>
            <w:r w:rsidRPr="000B51FF">
              <w:rPr>
                <w:rFonts w:ascii="Times New Roman" w:eastAsia="Times New Roman" w:hAnsi="Times New Roman" w:cs="Times New Roman"/>
                <w:color w:val="000000" w:themeColor="text1"/>
                <w:sz w:val="24"/>
                <w:szCs w:val="24"/>
                <w:lang w:eastAsia="lv-LV"/>
              </w:rPr>
              <w:t>Plānotās sabiedrības līdzdalības un komunikācijas aktivitātes saistībā ar projektu</w:t>
            </w:r>
          </w:p>
        </w:tc>
        <w:tc>
          <w:tcPr>
            <w:tcW w:w="3208" w:type="pct"/>
            <w:tcBorders>
              <w:top w:val="outset" w:sz="6" w:space="0" w:color="auto"/>
              <w:left w:val="outset" w:sz="6" w:space="0" w:color="auto"/>
              <w:bottom w:val="outset" w:sz="6" w:space="0" w:color="auto"/>
              <w:right w:val="outset" w:sz="6" w:space="0" w:color="auto"/>
            </w:tcBorders>
            <w:hideMark/>
          </w:tcPr>
          <w:p w:rsidR="009717F4" w:rsidRPr="000B51FF" w:rsidRDefault="009717F4" w:rsidP="000967B7">
            <w:pPr>
              <w:pStyle w:val="naisf"/>
              <w:spacing w:before="0" w:after="0"/>
              <w:ind w:left="57" w:right="57" w:firstLine="0"/>
              <w:rPr>
                <w:color w:val="000000" w:themeColor="text1"/>
              </w:rPr>
            </w:pPr>
            <w:r w:rsidRPr="000B51FF">
              <w:rPr>
                <w:color w:val="000000" w:themeColor="text1"/>
              </w:rPr>
              <w:t xml:space="preserve">Noteikumu projekts publiski ir pieejams </w:t>
            </w:r>
            <w:r w:rsidR="000967B7" w:rsidRPr="000B51FF">
              <w:rPr>
                <w:color w:val="000000" w:themeColor="text1"/>
              </w:rPr>
              <w:t xml:space="preserve">Vides aizsardzības un reģionālās attīstības </w:t>
            </w:r>
            <w:r w:rsidRPr="000B51FF">
              <w:rPr>
                <w:color w:val="000000" w:themeColor="text1"/>
              </w:rPr>
              <w:t xml:space="preserve">ministrijas </w:t>
            </w:r>
            <w:proofErr w:type="gramStart"/>
            <w:r w:rsidRPr="000B51FF">
              <w:rPr>
                <w:color w:val="000000" w:themeColor="text1"/>
              </w:rPr>
              <w:t>mājas lapā</w:t>
            </w:r>
            <w:proofErr w:type="gramEnd"/>
            <w:r w:rsidRPr="000B51FF">
              <w:rPr>
                <w:color w:val="000000" w:themeColor="text1"/>
              </w:rPr>
              <w:t xml:space="preserve"> internetā, </w:t>
            </w:r>
            <w:r w:rsidRPr="000B51FF">
              <w:rPr>
                <w:iCs/>
                <w:color w:val="000000" w:themeColor="text1"/>
              </w:rPr>
              <w:t>kā arī pēc izsludināšanas Valsts sekretāra sanāksmē būs pieejams Ministru kabineta mājas lapā internetā.</w:t>
            </w:r>
          </w:p>
        </w:tc>
      </w:tr>
      <w:tr w:rsidR="00C429E2" w:rsidRPr="000B51FF" w:rsidTr="00541E3B">
        <w:trPr>
          <w:trHeight w:val="220"/>
          <w:tblCellSpacing w:w="15" w:type="dxa"/>
          <w:jc w:val="center"/>
        </w:trPr>
        <w:tc>
          <w:tcPr>
            <w:tcW w:w="247" w:type="pct"/>
            <w:tcBorders>
              <w:top w:val="outset" w:sz="6" w:space="0" w:color="auto"/>
              <w:left w:val="outset" w:sz="6" w:space="0" w:color="auto"/>
              <w:bottom w:val="outset" w:sz="6" w:space="0" w:color="auto"/>
              <w:right w:val="outset" w:sz="6" w:space="0" w:color="auto"/>
            </w:tcBorders>
            <w:hideMark/>
          </w:tcPr>
          <w:p w:rsidR="009717F4" w:rsidRPr="000B51FF" w:rsidRDefault="009717F4" w:rsidP="00541E3B">
            <w:pPr>
              <w:spacing w:after="0" w:line="240" w:lineRule="auto"/>
              <w:ind w:left="57" w:right="57"/>
              <w:rPr>
                <w:rFonts w:ascii="Times New Roman" w:eastAsia="Times New Roman" w:hAnsi="Times New Roman" w:cs="Times New Roman"/>
                <w:color w:val="000000" w:themeColor="text1"/>
                <w:sz w:val="24"/>
                <w:szCs w:val="24"/>
                <w:lang w:eastAsia="lv-LV"/>
              </w:rPr>
            </w:pPr>
            <w:r w:rsidRPr="000B51FF">
              <w:rPr>
                <w:rFonts w:ascii="Times New Roman" w:eastAsia="Times New Roman" w:hAnsi="Times New Roman" w:cs="Times New Roman"/>
                <w:color w:val="000000" w:themeColor="text1"/>
                <w:sz w:val="24"/>
                <w:szCs w:val="24"/>
                <w:lang w:eastAsia="lv-LV"/>
              </w:rPr>
              <w:t>2.</w:t>
            </w:r>
          </w:p>
        </w:tc>
        <w:tc>
          <w:tcPr>
            <w:tcW w:w="1481" w:type="pct"/>
            <w:tcBorders>
              <w:top w:val="outset" w:sz="6" w:space="0" w:color="auto"/>
              <w:left w:val="outset" w:sz="6" w:space="0" w:color="auto"/>
              <w:bottom w:val="outset" w:sz="6" w:space="0" w:color="auto"/>
              <w:right w:val="outset" w:sz="6" w:space="0" w:color="auto"/>
            </w:tcBorders>
            <w:hideMark/>
          </w:tcPr>
          <w:p w:rsidR="009717F4" w:rsidRPr="000B51FF" w:rsidRDefault="009717F4" w:rsidP="00541E3B">
            <w:pPr>
              <w:spacing w:after="0" w:line="240" w:lineRule="auto"/>
              <w:ind w:left="57" w:right="57"/>
              <w:rPr>
                <w:rFonts w:ascii="Times New Roman" w:eastAsia="Times New Roman" w:hAnsi="Times New Roman" w:cs="Times New Roman"/>
                <w:color w:val="000000" w:themeColor="text1"/>
                <w:sz w:val="24"/>
                <w:szCs w:val="24"/>
                <w:lang w:eastAsia="lv-LV"/>
              </w:rPr>
            </w:pPr>
            <w:r w:rsidRPr="000B51FF">
              <w:rPr>
                <w:rFonts w:ascii="Times New Roman" w:eastAsia="Times New Roman" w:hAnsi="Times New Roman" w:cs="Times New Roman"/>
                <w:color w:val="000000" w:themeColor="text1"/>
                <w:sz w:val="24"/>
                <w:szCs w:val="24"/>
                <w:lang w:eastAsia="lv-LV"/>
              </w:rPr>
              <w:t>Sabiedrības līdzdalība projekta izstrādē</w:t>
            </w:r>
          </w:p>
          <w:p w:rsidR="009717F4" w:rsidRPr="000B51FF" w:rsidRDefault="009717F4" w:rsidP="00541E3B">
            <w:pPr>
              <w:spacing w:after="0" w:line="240" w:lineRule="auto"/>
              <w:ind w:left="57" w:right="57"/>
              <w:rPr>
                <w:rFonts w:ascii="Times New Roman" w:eastAsia="Times New Roman" w:hAnsi="Times New Roman" w:cs="Times New Roman"/>
                <w:color w:val="000000" w:themeColor="text1"/>
                <w:sz w:val="24"/>
                <w:szCs w:val="24"/>
                <w:lang w:eastAsia="lv-LV"/>
              </w:rPr>
            </w:pPr>
          </w:p>
        </w:tc>
        <w:tc>
          <w:tcPr>
            <w:tcW w:w="3208" w:type="pct"/>
            <w:tcBorders>
              <w:top w:val="outset" w:sz="6" w:space="0" w:color="auto"/>
              <w:left w:val="outset" w:sz="6" w:space="0" w:color="auto"/>
              <w:bottom w:val="outset" w:sz="6" w:space="0" w:color="auto"/>
              <w:right w:val="outset" w:sz="6" w:space="0" w:color="auto"/>
            </w:tcBorders>
            <w:hideMark/>
          </w:tcPr>
          <w:p w:rsidR="009717F4" w:rsidRPr="000B51FF" w:rsidRDefault="00F122DB" w:rsidP="00F122DB">
            <w:pPr>
              <w:spacing w:after="0" w:line="240" w:lineRule="auto"/>
              <w:ind w:left="57" w:right="57"/>
              <w:jc w:val="both"/>
              <w:rPr>
                <w:rFonts w:ascii="Times New Roman" w:eastAsia="Times New Roman" w:hAnsi="Times New Roman" w:cs="Times New Roman"/>
                <w:color w:val="000000" w:themeColor="text1"/>
                <w:sz w:val="24"/>
                <w:szCs w:val="24"/>
                <w:lang w:eastAsia="lv-LV"/>
              </w:rPr>
            </w:pPr>
            <w:r w:rsidRPr="000B51FF">
              <w:rPr>
                <w:rFonts w:ascii="Times New Roman" w:eastAsia="Times New Roman" w:hAnsi="Times New Roman" w:cs="Times New Roman"/>
                <w:color w:val="000000" w:themeColor="text1"/>
                <w:sz w:val="24"/>
                <w:szCs w:val="24"/>
                <w:lang w:eastAsia="lv-LV"/>
              </w:rPr>
              <w:t>Uzklausīti un ņemti pašvaldību, ekspertu, speciālistu un iedzīvotāju ieteikumi</w:t>
            </w:r>
            <w:r w:rsidR="009717F4" w:rsidRPr="000B51FF">
              <w:rPr>
                <w:rFonts w:ascii="Times New Roman" w:eastAsia="Times New Roman" w:hAnsi="Times New Roman" w:cs="Times New Roman"/>
                <w:color w:val="000000" w:themeColor="text1"/>
                <w:sz w:val="24"/>
                <w:szCs w:val="24"/>
                <w:lang w:eastAsia="lv-LV"/>
              </w:rPr>
              <w:t>.</w:t>
            </w:r>
          </w:p>
        </w:tc>
      </w:tr>
      <w:tr w:rsidR="00C429E2" w:rsidRPr="000B51FF" w:rsidTr="00541E3B">
        <w:trPr>
          <w:trHeight w:val="310"/>
          <w:tblCellSpacing w:w="15" w:type="dxa"/>
          <w:jc w:val="center"/>
        </w:trPr>
        <w:tc>
          <w:tcPr>
            <w:tcW w:w="247" w:type="pct"/>
            <w:tcBorders>
              <w:top w:val="outset" w:sz="6" w:space="0" w:color="auto"/>
              <w:left w:val="outset" w:sz="6" w:space="0" w:color="auto"/>
              <w:bottom w:val="outset" w:sz="6" w:space="0" w:color="auto"/>
              <w:right w:val="outset" w:sz="6" w:space="0" w:color="auto"/>
            </w:tcBorders>
            <w:hideMark/>
          </w:tcPr>
          <w:p w:rsidR="009717F4" w:rsidRPr="000B51FF" w:rsidRDefault="009717F4" w:rsidP="00541E3B">
            <w:pPr>
              <w:spacing w:after="0" w:line="240" w:lineRule="auto"/>
              <w:ind w:left="57" w:right="57"/>
              <w:rPr>
                <w:rFonts w:ascii="Times New Roman" w:eastAsia="Times New Roman" w:hAnsi="Times New Roman" w:cs="Times New Roman"/>
                <w:color w:val="000000" w:themeColor="text1"/>
                <w:sz w:val="24"/>
                <w:szCs w:val="24"/>
                <w:lang w:eastAsia="lv-LV"/>
              </w:rPr>
            </w:pPr>
            <w:r w:rsidRPr="000B51FF">
              <w:rPr>
                <w:rFonts w:ascii="Times New Roman" w:eastAsia="Times New Roman" w:hAnsi="Times New Roman" w:cs="Times New Roman"/>
                <w:color w:val="000000" w:themeColor="text1"/>
                <w:sz w:val="24"/>
                <w:szCs w:val="24"/>
                <w:lang w:eastAsia="lv-LV"/>
              </w:rPr>
              <w:t>3.</w:t>
            </w:r>
          </w:p>
        </w:tc>
        <w:tc>
          <w:tcPr>
            <w:tcW w:w="1481" w:type="pct"/>
            <w:tcBorders>
              <w:top w:val="outset" w:sz="6" w:space="0" w:color="auto"/>
              <w:left w:val="outset" w:sz="6" w:space="0" w:color="auto"/>
              <w:bottom w:val="outset" w:sz="6" w:space="0" w:color="auto"/>
              <w:right w:val="outset" w:sz="6" w:space="0" w:color="auto"/>
            </w:tcBorders>
            <w:hideMark/>
          </w:tcPr>
          <w:p w:rsidR="009717F4" w:rsidRPr="000B51FF" w:rsidRDefault="009717F4" w:rsidP="00541E3B">
            <w:pPr>
              <w:spacing w:after="0" w:line="240" w:lineRule="auto"/>
              <w:ind w:left="57" w:right="57"/>
              <w:rPr>
                <w:rFonts w:ascii="Times New Roman" w:eastAsia="Times New Roman" w:hAnsi="Times New Roman" w:cs="Times New Roman"/>
                <w:color w:val="000000" w:themeColor="text1"/>
                <w:sz w:val="24"/>
                <w:szCs w:val="24"/>
                <w:lang w:eastAsia="lv-LV"/>
              </w:rPr>
            </w:pPr>
            <w:r w:rsidRPr="000B51FF">
              <w:rPr>
                <w:rFonts w:ascii="Times New Roman" w:eastAsia="Times New Roman" w:hAnsi="Times New Roman" w:cs="Times New Roman"/>
                <w:color w:val="000000" w:themeColor="text1"/>
                <w:sz w:val="24"/>
                <w:szCs w:val="24"/>
                <w:lang w:eastAsia="lv-LV"/>
              </w:rPr>
              <w:t>Sabiedrības līdzdalības rezultāti</w:t>
            </w:r>
          </w:p>
          <w:p w:rsidR="009717F4" w:rsidRPr="000B51FF" w:rsidRDefault="009717F4" w:rsidP="00541E3B">
            <w:pPr>
              <w:spacing w:after="0" w:line="240" w:lineRule="auto"/>
              <w:ind w:left="57" w:right="57"/>
              <w:rPr>
                <w:rFonts w:ascii="Times New Roman" w:eastAsia="Times New Roman" w:hAnsi="Times New Roman" w:cs="Times New Roman"/>
                <w:color w:val="000000" w:themeColor="text1"/>
                <w:sz w:val="24"/>
                <w:szCs w:val="24"/>
                <w:lang w:eastAsia="lv-LV"/>
              </w:rPr>
            </w:pPr>
          </w:p>
        </w:tc>
        <w:tc>
          <w:tcPr>
            <w:tcW w:w="3208" w:type="pct"/>
            <w:tcBorders>
              <w:top w:val="outset" w:sz="6" w:space="0" w:color="auto"/>
              <w:left w:val="outset" w:sz="6" w:space="0" w:color="auto"/>
              <w:bottom w:val="outset" w:sz="6" w:space="0" w:color="auto"/>
              <w:right w:val="outset" w:sz="6" w:space="0" w:color="auto"/>
            </w:tcBorders>
            <w:hideMark/>
          </w:tcPr>
          <w:p w:rsidR="009717F4" w:rsidRPr="00115266" w:rsidRDefault="00115266" w:rsidP="00115266">
            <w:pPr>
              <w:spacing w:after="0" w:line="240" w:lineRule="auto"/>
              <w:ind w:left="57" w:right="57"/>
              <w:jc w:val="both"/>
              <w:rPr>
                <w:rFonts w:ascii="Times New Roman" w:eastAsia="Times New Roman" w:hAnsi="Times New Roman" w:cs="Times New Roman"/>
                <w:color w:val="000000" w:themeColor="text1"/>
                <w:sz w:val="24"/>
                <w:szCs w:val="24"/>
                <w:lang w:eastAsia="lv-LV"/>
              </w:rPr>
            </w:pPr>
            <w:r w:rsidRPr="00115266">
              <w:rPr>
                <w:rFonts w:ascii="Times New Roman" w:hAnsi="Times New Roman" w:cs="Times New Roman"/>
                <w:bCs/>
                <w:color w:val="000000" w:themeColor="text1"/>
                <w:sz w:val="24"/>
                <w:szCs w:val="24"/>
                <w:lang w:eastAsia="lv-LV"/>
              </w:rPr>
              <w:t xml:space="preserve">Atbilstoši Vides aizsardzības un reģionālās attīstības ministrijas </w:t>
            </w:r>
            <w:proofErr w:type="gramStart"/>
            <w:r w:rsidRPr="00115266">
              <w:rPr>
                <w:rFonts w:ascii="Times New Roman" w:hAnsi="Times New Roman" w:cs="Times New Roman"/>
                <w:bCs/>
                <w:color w:val="000000" w:themeColor="text1"/>
                <w:sz w:val="24"/>
                <w:szCs w:val="24"/>
                <w:lang w:eastAsia="lv-LV"/>
              </w:rPr>
              <w:t>2013.gada</w:t>
            </w:r>
            <w:proofErr w:type="gramEnd"/>
            <w:r w:rsidRPr="00115266">
              <w:rPr>
                <w:rFonts w:ascii="Times New Roman" w:hAnsi="Times New Roman" w:cs="Times New Roman"/>
                <w:bCs/>
                <w:color w:val="000000" w:themeColor="text1"/>
                <w:sz w:val="24"/>
                <w:szCs w:val="24"/>
                <w:lang w:eastAsia="lv-LV"/>
              </w:rPr>
              <w:t xml:space="preserve"> 5.jūlija iekšējo noteikumu Nr.31 “Attīstības plānošanas dokumentu, tiesību aktu projektu un informatīvo ziņojumu projektu sagatavošanas un izsludināšanas kārtības” 13. un 14.punktam, </w:t>
            </w:r>
            <w:r w:rsidRPr="00115266">
              <w:rPr>
                <w:rFonts w:ascii="Times New Roman" w:eastAsia="Times New Roman" w:hAnsi="Times New Roman" w:cs="Times New Roman"/>
                <w:color w:val="000000" w:themeColor="text1"/>
                <w:sz w:val="24"/>
                <w:szCs w:val="24"/>
                <w:lang w:eastAsia="lv-LV"/>
              </w:rPr>
              <w:t xml:space="preserve">Projekts pirms izsludināšanas Valsts sekretāru sanāksmē publicēts Vides aizsardzības un reģionālās attīstības ministrijas tīmekļa vietnē </w:t>
            </w:r>
            <w:hyperlink r:id="rId7" w:history="1">
              <w:r w:rsidRPr="00115266">
                <w:rPr>
                  <w:rStyle w:val="Hyperlink"/>
                  <w:rFonts w:ascii="Times New Roman" w:eastAsia="Times New Roman" w:hAnsi="Times New Roman" w:cs="Times New Roman"/>
                  <w:color w:val="000000" w:themeColor="text1"/>
                  <w:sz w:val="24"/>
                  <w:szCs w:val="24"/>
                  <w:lang w:eastAsia="lv-LV"/>
                </w:rPr>
                <w:t>www.varam.gov.lv</w:t>
              </w:r>
            </w:hyperlink>
            <w:r w:rsidRPr="00115266">
              <w:rPr>
                <w:rFonts w:ascii="Times New Roman" w:eastAsia="Times New Roman" w:hAnsi="Times New Roman" w:cs="Times New Roman"/>
                <w:color w:val="000000" w:themeColor="text1"/>
                <w:sz w:val="24"/>
                <w:szCs w:val="24"/>
                <w:lang w:eastAsia="lv-LV"/>
              </w:rPr>
              <w:t xml:space="preserve"> sadaļas „Normatīvie akti” apakšsadaļā „Normatīvo aktu projekti”.</w:t>
            </w:r>
          </w:p>
        </w:tc>
      </w:tr>
      <w:tr w:rsidR="00C429E2" w:rsidRPr="000B51FF" w:rsidTr="00541E3B">
        <w:trPr>
          <w:trHeight w:val="310"/>
          <w:tblCellSpacing w:w="15" w:type="dxa"/>
          <w:jc w:val="center"/>
        </w:trPr>
        <w:tc>
          <w:tcPr>
            <w:tcW w:w="247" w:type="pct"/>
            <w:tcBorders>
              <w:top w:val="outset" w:sz="6" w:space="0" w:color="auto"/>
              <w:left w:val="outset" w:sz="6" w:space="0" w:color="auto"/>
              <w:bottom w:val="outset" w:sz="6" w:space="0" w:color="auto"/>
              <w:right w:val="outset" w:sz="6" w:space="0" w:color="auto"/>
            </w:tcBorders>
            <w:hideMark/>
          </w:tcPr>
          <w:p w:rsidR="009717F4" w:rsidRPr="000B51FF" w:rsidRDefault="009717F4" w:rsidP="00541E3B">
            <w:pPr>
              <w:spacing w:after="0" w:line="240" w:lineRule="auto"/>
              <w:ind w:left="57" w:right="57"/>
              <w:rPr>
                <w:rFonts w:ascii="Times New Roman" w:eastAsia="Times New Roman" w:hAnsi="Times New Roman" w:cs="Times New Roman"/>
                <w:color w:val="000000" w:themeColor="text1"/>
                <w:sz w:val="24"/>
                <w:szCs w:val="24"/>
                <w:lang w:eastAsia="lv-LV"/>
              </w:rPr>
            </w:pPr>
            <w:r w:rsidRPr="000B51FF">
              <w:rPr>
                <w:rFonts w:ascii="Times New Roman" w:eastAsia="Times New Roman" w:hAnsi="Times New Roman" w:cs="Times New Roman"/>
                <w:color w:val="000000" w:themeColor="text1"/>
                <w:sz w:val="24"/>
                <w:szCs w:val="24"/>
                <w:lang w:eastAsia="lv-LV"/>
              </w:rPr>
              <w:t>4.</w:t>
            </w:r>
          </w:p>
        </w:tc>
        <w:tc>
          <w:tcPr>
            <w:tcW w:w="1481" w:type="pct"/>
            <w:tcBorders>
              <w:top w:val="outset" w:sz="6" w:space="0" w:color="auto"/>
              <w:left w:val="outset" w:sz="6" w:space="0" w:color="auto"/>
              <w:bottom w:val="outset" w:sz="6" w:space="0" w:color="auto"/>
              <w:right w:val="outset" w:sz="6" w:space="0" w:color="auto"/>
            </w:tcBorders>
            <w:hideMark/>
          </w:tcPr>
          <w:p w:rsidR="009717F4" w:rsidRPr="000B51FF" w:rsidRDefault="009717F4" w:rsidP="00541E3B">
            <w:pPr>
              <w:spacing w:after="0" w:line="240" w:lineRule="auto"/>
              <w:ind w:left="57" w:right="57"/>
              <w:rPr>
                <w:rFonts w:ascii="Times New Roman" w:eastAsia="Times New Roman" w:hAnsi="Times New Roman" w:cs="Times New Roman"/>
                <w:color w:val="000000" w:themeColor="text1"/>
                <w:sz w:val="24"/>
                <w:szCs w:val="24"/>
                <w:lang w:eastAsia="lv-LV"/>
              </w:rPr>
            </w:pPr>
            <w:r w:rsidRPr="000B51FF">
              <w:rPr>
                <w:rFonts w:ascii="Times New Roman" w:eastAsia="Times New Roman" w:hAnsi="Times New Roman" w:cs="Times New Roman"/>
                <w:color w:val="000000" w:themeColor="text1"/>
                <w:sz w:val="24"/>
                <w:szCs w:val="24"/>
                <w:lang w:eastAsia="lv-LV"/>
              </w:rPr>
              <w:t>Cita informācija</w:t>
            </w:r>
          </w:p>
        </w:tc>
        <w:tc>
          <w:tcPr>
            <w:tcW w:w="3208" w:type="pct"/>
            <w:tcBorders>
              <w:top w:val="outset" w:sz="6" w:space="0" w:color="auto"/>
              <w:left w:val="outset" w:sz="6" w:space="0" w:color="auto"/>
              <w:bottom w:val="outset" w:sz="6" w:space="0" w:color="auto"/>
              <w:right w:val="outset" w:sz="6" w:space="0" w:color="auto"/>
            </w:tcBorders>
            <w:hideMark/>
          </w:tcPr>
          <w:p w:rsidR="009717F4" w:rsidRPr="000B51FF" w:rsidRDefault="009717F4" w:rsidP="00541E3B">
            <w:pPr>
              <w:spacing w:after="0" w:line="240" w:lineRule="auto"/>
              <w:ind w:left="57" w:right="57"/>
              <w:rPr>
                <w:rFonts w:ascii="Times New Roman" w:eastAsia="Times New Roman" w:hAnsi="Times New Roman" w:cs="Times New Roman"/>
                <w:color w:val="000000" w:themeColor="text1"/>
                <w:sz w:val="24"/>
                <w:szCs w:val="24"/>
                <w:lang w:eastAsia="lv-LV"/>
              </w:rPr>
            </w:pPr>
            <w:r w:rsidRPr="000B51FF">
              <w:rPr>
                <w:rFonts w:ascii="Times New Roman" w:eastAsia="Times New Roman" w:hAnsi="Times New Roman" w:cs="Times New Roman"/>
                <w:color w:val="000000" w:themeColor="text1"/>
                <w:sz w:val="24"/>
                <w:szCs w:val="24"/>
                <w:lang w:eastAsia="lv-LV"/>
              </w:rPr>
              <w:t>Nav</w:t>
            </w:r>
          </w:p>
        </w:tc>
      </w:tr>
    </w:tbl>
    <w:p w:rsidR="009717F4" w:rsidRPr="000B51FF" w:rsidRDefault="009717F4" w:rsidP="009717F4">
      <w:pPr>
        <w:spacing w:after="0" w:line="240" w:lineRule="auto"/>
        <w:ind w:left="57" w:right="57"/>
        <w:rPr>
          <w:rFonts w:ascii="Times New Roman" w:eastAsia="Times New Roman" w:hAnsi="Times New Roman" w:cs="Times New Roman"/>
          <w:color w:val="000000" w:themeColor="text1"/>
          <w:sz w:val="26"/>
          <w:szCs w:val="26"/>
          <w:lang w:eastAsia="lv-LV"/>
        </w:rPr>
      </w:pPr>
      <w:r w:rsidRPr="000B51FF">
        <w:rPr>
          <w:rFonts w:ascii="Times New Roman" w:eastAsia="Times New Roman" w:hAnsi="Times New Roman" w:cs="Times New Roman"/>
          <w:color w:val="000000" w:themeColor="text1"/>
          <w:sz w:val="26"/>
          <w:szCs w:val="26"/>
          <w:lang w:eastAsia="lv-LV"/>
        </w:rPr>
        <w:t> </w:t>
      </w:r>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20" w:type="dxa"/>
          <w:left w:w="20" w:type="dxa"/>
          <w:bottom w:w="20" w:type="dxa"/>
          <w:right w:w="20" w:type="dxa"/>
        </w:tblCellMar>
        <w:tblLook w:val="04A0" w:firstRow="1" w:lastRow="0" w:firstColumn="1" w:lastColumn="0" w:noHBand="0" w:noVBand="1"/>
      </w:tblPr>
      <w:tblGrid>
        <w:gridCol w:w="506"/>
        <w:gridCol w:w="3535"/>
        <w:gridCol w:w="5297"/>
      </w:tblGrid>
      <w:tr w:rsidR="00C429E2" w:rsidRPr="000B51FF" w:rsidTr="00541E3B">
        <w:trPr>
          <w:trHeight w:val="250"/>
          <w:tblCellSpacing w:w="15" w:type="dxa"/>
          <w:jc w:val="center"/>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9717F4" w:rsidRPr="000B51FF" w:rsidRDefault="009717F4" w:rsidP="00541E3B">
            <w:pPr>
              <w:spacing w:after="0" w:line="240" w:lineRule="auto"/>
              <w:ind w:left="57" w:right="57"/>
              <w:jc w:val="center"/>
              <w:rPr>
                <w:rFonts w:ascii="Times New Roman" w:eastAsia="Times New Roman" w:hAnsi="Times New Roman" w:cs="Times New Roman"/>
                <w:b/>
                <w:bCs/>
                <w:color w:val="000000" w:themeColor="text1"/>
                <w:sz w:val="24"/>
                <w:szCs w:val="24"/>
                <w:lang w:eastAsia="lv-LV"/>
              </w:rPr>
            </w:pPr>
            <w:r w:rsidRPr="000B51FF">
              <w:rPr>
                <w:rFonts w:ascii="Times New Roman" w:eastAsia="Times New Roman" w:hAnsi="Times New Roman" w:cs="Times New Roman"/>
                <w:b/>
                <w:bCs/>
                <w:color w:val="000000" w:themeColor="text1"/>
                <w:sz w:val="24"/>
                <w:szCs w:val="24"/>
                <w:lang w:eastAsia="lv-LV"/>
              </w:rPr>
              <w:t>VII. Tiesību akta projekta izpildes nodrošināšana un tās ietekme uz institūcijām</w:t>
            </w:r>
          </w:p>
        </w:tc>
      </w:tr>
      <w:tr w:rsidR="00C429E2" w:rsidRPr="000B51FF" w:rsidTr="00541E3B">
        <w:trPr>
          <w:trHeight w:val="280"/>
          <w:tblCellSpacing w:w="15" w:type="dxa"/>
          <w:jc w:val="center"/>
        </w:trPr>
        <w:tc>
          <w:tcPr>
            <w:tcW w:w="247" w:type="pct"/>
            <w:tcBorders>
              <w:top w:val="outset" w:sz="6" w:space="0" w:color="auto"/>
              <w:left w:val="outset" w:sz="6" w:space="0" w:color="auto"/>
              <w:bottom w:val="outset" w:sz="6" w:space="0" w:color="auto"/>
              <w:right w:val="outset" w:sz="6" w:space="0" w:color="auto"/>
            </w:tcBorders>
            <w:hideMark/>
          </w:tcPr>
          <w:p w:rsidR="009717F4" w:rsidRPr="000B51FF" w:rsidRDefault="009717F4" w:rsidP="00541E3B">
            <w:pPr>
              <w:spacing w:after="0" w:line="240" w:lineRule="auto"/>
              <w:ind w:left="57" w:right="57"/>
              <w:rPr>
                <w:rFonts w:ascii="Times New Roman" w:eastAsia="Times New Roman" w:hAnsi="Times New Roman" w:cs="Times New Roman"/>
                <w:color w:val="000000" w:themeColor="text1"/>
                <w:sz w:val="24"/>
                <w:szCs w:val="24"/>
                <w:lang w:eastAsia="lv-LV"/>
              </w:rPr>
            </w:pPr>
            <w:r w:rsidRPr="000B51FF">
              <w:rPr>
                <w:rFonts w:ascii="Times New Roman" w:eastAsia="Times New Roman" w:hAnsi="Times New Roman" w:cs="Times New Roman"/>
                <w:color w:val="000000" w:themeColor="text1"/>
                <w:sz w:val="24"/>
                <w:szCs w:val="24"/>
                <w:lang w:eastAsia="lv-LV"/>
              </w:rPr>
              <w:t>1.</w:t>
            </w:r>
          </w:p>
        </w:tc>
        <w:tc>
          <w:tcPr>
            <w:tcW w:w="1876" w:type="pct"/>
            <w:tcBorders>
              <w:top w:val="outset" w:sz="6" w:space="0" w:color="auto"/>
              <w:left w:val="outset" w:sz="6" w:space="0" w:color="auto"/>
              <w:bottom w:val="outset" w:sz="6" w:space="0" w:color="auto"/>
              <w:right w:val="outset" w:sz="6" w:space="0" w:color="auto"/>
            </w:tcBorders>
            <w:hideMark/>
          </w:tcPr>
          <w:p w:rsidR="009717F4" w:rsidRPr="000B51FF" w:rsidRDefault="009717F4" w:rsidP="00541E3B">
            <w:pPr>
              <w:spacing w:after="0" w:line="240" w:lineRule="auto"/>
              <w:ind w:left="57" w:right="57"/>
              <w:rPr>
                <w:rFonts w:ascii="Times New Roman" w:eastAsia="Times New Roman" w:hAnsi="Times New Roman" w:cs="Times New Roman"/>
                <w:color w:val="000000" w:themeColor="text1"/>
                <w:sz w:val="24"/>
                <w:szCs w:val="24"/>
                <w:lang w:eastAsia="lv-LV"/>
              </w:rPr>
            </w:pPr>
            <w:r w:rsidRPr="000B51FF">
              <w:rPr>
                <w:rFonts w:ascii="Times New Roman" w:eastAsia="Times New Roman" w:hAnsi="Times New Roman" w:cs="Times New Roman"/>
                <w:color w:val="000000" w:themeColor="text1"/>
                <w:sz w:val="24"/>
                <w:szCs w:val="24"/>
                <w:lang w:eastAsia="lv-LV"/>
              </w:rPr>
              <w:t>Projekta izpildē iesaistītās institūcijas</w:t>
            </w:r>
          </w:p>
        </w:tc>
        <w:tc>
          <w:tcPr>
            <w:tcW w:w="2812" w:type="pct"/>
            <w:tcBorders>
              <w:top w:val="outset" w:sz="6" w:space="0" w:color="auto"/>
              <w:left w:val="outset" w:sz="6" w:space="0" w:color="auto"/>
              <w:bottom w:val="outset" w:sz="6" w:space="0" w:color="auto"/>
              <w:right w:val="outset" w:sz="6" w:space="0" w:color="auto"/>
            </w:tcBorders>
            <w:hideMark/>
          </w:tcPr>
          <w:p w:rsidR="00115266" w:rsidRPr="00C429E2" w:rsidRDefault="00115266" w:rsidP="00115266">
            <w:pPr>
              <w:pStyle w:val="naisnod"/>
              <w:spacing w:before="0" w:after="0"/>
              <w:ind w:left="57" w:right="57"/>
              <w:jc w:val="left"/>
              <w:rPr>
                <w:b w:val="0"/>
                <w:iCs/>
              </w:rPr>
            </w:pPr>
            <w:r>
              <w:rPr>
                <w:b w:val="0"/>
                <w:iCs/>
              </w:rPr>
              <w:t xml:space="preserve">Vides aizsardzības un reģionālās attīstības ministrija, </w:t>
            </w:r>
            <w:r w:rsidRPr="00C429E2">
              <w:rPr>
                <w:b w:val="0"/>
                <w:iCs/>
              </w:rPr>
              <w:t>Pašvaldības</w:t>
            </w:r>
          </w:p>
          <w:p w:rsidR="009717F4" w:rsidRPr="000B51FF" w:rsidRDefault="009717F4" w:rsidP="00541E3B">
            <w:pPr>
              <w:pStyle w:val="naisnod"/>
              <w:spacing w:before="0" w:after="0"/>
              <w:ind w:left="57" w:right="57"/>
              <w:jc w:val="left"/>
              <w:rPr>
                <w:b w:val="0"/>
                <w:iCs/>
                <w:color w:val="000000" w:themeColor="text1"/>
              </w:rPr>
            </w:pPr>
          </w:p>
          <w:p w:rsidR="009717F4" w:rsidRPr="000B51FF" w:rsidRDefault="009717F4" w:rsidP="00F122DB">
            <w:pPr>
              <w:pStyle w:val="naisnod"/>
              <w:spacing w:before="0" w:after="0"/>
              <w:ind w:left="57" w:right="57"/>
              <w:jc w:val="left"/>
              <w:rPr>
                <w:color w:val="000000" w:themeColor="text1"/>
              </w:rPr>
            </w:pPr>
          </w:p>
        </w:tc>
      </w:tr>
      <w:tr w:rsidR="00C429E2" w:rsidRPr="000B51FF" w:rsidTr="00541E3B">
        <w:trPr>
          <w:trHeight w:val="300"/>
          <w:tblCellSpacing w:w="15" w:type="dxa"/>
          <w:jc w:val="center"/>
        </w:trPr>
        <w:tc>
          <w:tcPr>
            <w:tcW w:w="247" w:type="pct"/>
            <w:tcBorders>
              <w:top w:val="outset" w:sz="6" w:space="0" w:color="auto"/>
              <w:left w:val="outset" w:sz="6" w:space="0" w:color="auto"/>
              <w:bottom w:val="outset" w:sz="6" w:space="0" w:color="auto"/>
              <w:right w:val="outset" w:sz="6" w:space="0" w:color="auto"/>
            </w:tcBorders>
            <w:hideMark/>
          </w:tcPr>
          <w:p w:rsidR="009717F4" w:rsidRPr="000B51FF" w:rsidRDefault="009717F4" w:rsidP="00541E3B">
            <w:pPr>
              <w:spacing w:after="0" w:line="240" w:lineRule="auto"/>
              <w:ind w:left="57" w:right="57"/>
              <w:rPr>
                <w:rFonts w:ascii="Times New Roman" w:eastAsia="Times New Roman" w:hAnsi="Times New Roman" w:cs="Times New Roman"/>
                <w:color w:val="000000" w:themeColor="text1"/>
                <w:sz w:val="24"/>
                <w:szCs w:val="24"/>
                <w:lang w:eastAsia="lv-LV"/>
              </w:rPr>
            </w:pPr>
            <w:r w:rsidRPr="000B51FF">
              <w:rPr>
                <w:rFonts w:ascii="Times New Roman" w:eastAsia="Times New Roman" w:hAnsi="Times New Roman" w:cs="Times New Roman"/>
                <w:color w:val="000000" w:themeColor="text1"/>
                <w:sz w:val="24"/>
                <w:szCs w:val="24"/>
                <w:lang w:eastAsia="lv-LV"/>
              </w:rPr>
              <w:t>2.</w:t>
            </w:r>
          </w:p>
        </w:tc>
        <w:tc>
          <w:tcPr>
            <w:tcW w:w="1876" w:type="pct"/>
            <w:tcBorders>
              <w:top w:val="outset" w:sz="6" w:space="0" w:color="auto"/>
              <w:left w:val="outset" w:sz="6" w:space="0" w:color="auto"/>
              <w:bottom w:val="outset" w:sz="6" w:space="0" w:color="auto"/>
              <w:right w:val="outset" w:sz="6" w:space="0" w:color="auto"/>
            </w:tcBorders>
            <w:hideMark/>
          </w:tcPr>
          <w:p w:rsidR="009717F4" w:rsidRPr="000B51FF" w:rsidRDefault="009717F4" w:rsidP="00541E3B">
            <w:pPr>
              <w:spacing w:after="0" w:line="240" w:lineRule="auto"/>
              <w:ind w:left="57" w:right="57"/>
              <w:rPr>
                <w:rFonts w:ascii="Times New Roman" w:eastAsia="Times New Roman" w:hAnsi="Times New Roman" w:cs="Times New Roman"/>
                <w:color w:val="000000" w:themeColor="text1"/>
                <w:sz w:val="24"/>
                <w:szCs w:val="24"/>
                <w:lang w:eastAsia="lv-LV"/>
              </w:rPr>
            </w:pPr>
            <w:r w:rsidRPr="000B51FF">
              <w:rPr>
                <w:rFonts w:ascii="Times New Roman" w:eastAsia="Times New Roman" w:hAnsi="Times New Roman" w:cs="Times New Roman"/>
                <w:color w:val="000000" w:themeColor="text1"/>
                <w:sz w:val="24"/>
                <w:szCs w:val="24"/>
                <w:lang w:eastAsia="lv-LV"/>
              </w:rPr>
              <w:t xml:space="preserve">Projekta izpildes ietekme uz pārvaldes funkcijām un institucionālo struktūru. </w:t>
            </w:r>
          </w:p>
          <w:p w:rsidR="009717F4" w:rsidRPr="000B51FF" w:rsidRDefault="009717F4" w:rsidP="00541E3B">
            <w:pPr>
              <w:spacing w:after="0" w:line="240" w:lineRule="auto"/>
              <w:ind w:left="57" w:right="57"/>
              <w:rPr>
                <w:rFonts w:ascii="Times New Roman" w:eastAsia="Times New Roman" w:hAnsi="Times New Roman" w:cs="Times New Roman"/>
                <w:color w:val="000000" w:themeColor="text1"/>
                <w:sz w:val="24"/>
                <w:szCs w:val="24"/>
                <w:lang w:eastAsia="lv-LV"/>
              </w:rPr>
            </w:pPr>
            <w:r w:rsidRPr="000B51FF">
              <w:rPr>
                <w:rFonts w:ascii="Times New Roman" w:eastAsia="Times New Roman" w:hAnsi="Times New Roman" w:cs="Times New Roman"/>
                <w:color w:val="000000" w:themeColor="text1"/>
                <w:sz w:val="24"/>
                <w:szCs w:val="24"/>
                <w:lang w:eastAsia="lv-LV"/>
              </w:rPr>
              <w:t>Jaunu institūciju izveide, esošu institūciju likvidācija vai reorganizācija, to ietekme uz institūcijas cilvēkresursiem</w:t>
            </w:r>
          </w:p>
        </w:tc>
        <w:tc>
          <w:tcPr>
            <w:tcW w:w="2812" w:type="pct"/>
            <w:tcBorders>
              <w:top w:val="outset" w:sz="6" w:space="0" w:color="auto"/>
              <w:left w:val="outset" w:sz="6" w:space="0" w:color="auto"/>
              <w:bottom w:val="outset" w:sz="6" w:space="0" w:color="auto"/>
              <w:right w:val="outset" w:sz="6" w:space="0" w:color="auto"/>
            </w:tcBorders>
            <w:hideMark/>
          </w:tcPr>
          <w:p w:rsidR="009717F4" w:rsidRPr="000B51FF" w:rsidRDefault="009717F4" w:rsidP="00541E3B">
            <w:pPr>
              <w:pStyle w:val="ListParagraph"/>
              <w:numPr>
                <w:ilvl w:val="0"/>
                <w:numId w:val="1"/>
              </w:numPr>
              <w:spacing w:after="0" w:line="240" w:lineRule="auto"/>
              <w:ind w:right="57"/>
              <w:rPr>
                <w:rFonts w:ascii="Times New Roman" w:eastAsia="Times New Roman" w:hAnsi="Times New Roman" w:cs="Times New Roman"/>
                <w:color w:val="000000" w:themeColor="text1"/>
                <w:sz w:val="24"/>
                <w:szCs w:val="24"/>
                <w:lang w:eastAsia="lv-LV"/>
              </w:rPr>
            </w:pPr>
          </w:p>
        </w:tc>
      </w:tr>
      <w:tr w:rsidR="009717F4" w:rsidRPr="000B51FF" w:rsidTr="00541E3B">
        <w:trPr>
          <w:trHeight w:val="260"/>
          <w:tblCellSpacing w:w="15" w:type="dxa"/>
          <w:jc w:val="center"/>
        </w:trPr>
        <w:tc>
          <w:tcPr>
            <w:tcW w:w="247" w:type="pct"/>
            <w:tcBorders>
              <w:top w:val="outset" w:sz="6" w:space="0" w:color="auto"/>
              <w:left w:val="outset" w:sz="6" w:space="0" w:color="auto"/>
              <w:bottom w:val="outset" w:sz="6" w:space="0" w:color="auto"/>
              <w:right w:val="outset" w:sz="6" w:space="0" w:color="auto"/>
            </w:tcBorders>
            <w:hideMark/>
          </w:tcPr>
          <w:p w:rsidR="009717F4" w:rsidRPr="000B51FF" w:rsidRDefault="009717F4" w:rsidP="00541E3B">
            <w:pPr>
              <w:spacing w:after="0" w:line="240" w:lineRule="auto"/>
              <w:ind w:left="57" w:right="57"/>
              <w:rPr>
                <w:rFonts w:ascii="Times New Roman" w:eastAsia="Times New Roman" w:hAnsi="Times New Roman" w:cs="Times New Roman"/>
                <w:color w:val="000000" w:themeColor="text1"/>
                <w:sz w:val="24"/>
                <w:szCs w:val="24"/>
                <w:lang w:eastAsia="lv-LV"/>
              </w:rPr>
            </w:pPr>
            <w:r w:rsidRPr="000B51FF">
              <w:rPr>
                <w:rFonts w:ascii="Times New Roman" w:eastAsia="Times New Roman" w:hAnsi="Times New Roman" w:cs="Times New Roman"/>
                <w:color w:val="000000" w:themeColor="text1"/>
                <w:sz w:val="24"/>
                <w:szCs w:val="24"/>
                <w:lang w:eastAsia="lv-LV"/>
              </w:rPr>
              <w:t>3.</w:t>
            </w:r>
          </w:p>
        </w:tc>
        <w:tc>
          <w:tcPr>
            <w:tcW w:w="1876" w:type="pct"/>
            <w:tcBorders>
              <w:top w:val="outset" w:sz="6" w:space="0" w:color="auto"/>
              <w:left w:val="outset" w:sz="6" w:space="0" w:color="auto"/>
              <w:bottom w:val="outset" w:sz="6" w:space="0" w:color="auto"/>
              <w:right w:val="outset" w:sz="6" w:space="0" w:color="auto"/>
            </w:tcBorders>
            <w:hideMark/>
          </w:tcPr>
          <w:p w:rsidR="009717F4" w:rsidRPr="000B51FF" w:rsidRDefault="009717F4" w:rsidP="00541E3B">
            <w:pPr>
              <w:spacing w:after="0" w:line="240" w:lineRule="auto"/>
              <w:ind w:left="57" w:right="57"/>
              <w:rPr>
                <w:rFonts w:ascii="Times New Roman" w:eastAsia="Times New Roman" w:hAnsi="Times New Roman" w:cs="Times New Roman"/>
                <w:color w:val="000000" w:themeColor="text1"/>
                <w:sz w:val="24"/>
                <w:szCs w:val="24"/>
                <w:lang w:eastAsia="lv-LV"/>
              </w:rPr>
            </w:pPr>
            <w:r w:rsidRPr="000B51FF">
              <w:rPr>
                <w:rFonts w:ascii="Times New Roman" w:eastAsia="Times New Roman" w:hAnsi="Times New Roman" w:cs="Times New Roman"/>
                <w:color w:val="000000" w:themeColor="text1"/>
                <w:sz w:val="24"/>
                <w:szCs w:val="24"/>
                <w:lang w:eastAsia="lv-LV"/>
              </w:rPr>
              <w:t>Cita informācija</w:t>
            </w:r>
          </w:p>
        </w:tc>
        <w:tc>
          <w:tcPr>
            <w:tcW w:w="2812" w:type="pct"/>
            <w:tcBorders>
              <w:top w:val="outset" w:sz="6" w:space="0" w:color="auto"/>
              <w:left w:val="outset" w:sz="6" w:space="0" w:color="auto"/>
              <w:bottom w:val="outset" w:sz="6" w:space="0" w:color="auto"/>
              <w:right w:val="outset" w:sz="6" w:space="0" w:color="auto"/>
            </w:tcBorders>
            <w:hideMark/>
          </w:tcPr>
          <w:p w:rsidR="009717F4" w:rsidRPr="000B51FF" w:rsidRDefault="009717F4" w:rsidP="00541E3B">
            <w:pPr>
              <w:spacing w:after="0" w:line="240" w:lineRule="auto"/>
              <w:ind w:left="57" w:right="57"/>
              <w:rPr>
                <w:rFonts w:ascii="Times New Roman" w:eastAsia="Times New Roman" w:hAnsi="Times New Roman" w:cs="Times New Roman"/>
                <w:color w:val="000000" w:themeColor="text1"/>
                <w:sz w:val="24"/>
                <w:szCs w:val="24"/>
                <w:lang w:eastAsia="lv-LV"/>
              </w:rPr>
            </w:pPr>
            <w:r w:rsidRPr="000B51FF">
              <w:rPr>
                <w:rFonts w:ascii="Times New Roman" w:eastAsia="Times New Roman" w:hAnsi="Times New Roman" w:cs="Times New Roman"/>
                <w:color w:val="000000" w:themeColor="text1"/>
                <w:sz w:val="24"/>
                <w:szCs w:val="24"/>
                <w:lang w:eastAsia="lv-LV"/>
              </w:rPr>
              <w:t>Nav</w:t>
            </w:r>
          </w:p>
        </w:tc>
      </w:tr>
    </w:tbl>
    <w:p w:rsidR="009E3E9F" w:rsidRPr="000B51FF" w:rsidRDefault="009E3E9F" w:rsidP="009717F4">
      <w:pPr>
        <w:spacing w:after="0" w:line="240" w:lineRule="auto"/>
        <w:ind w:left="57" w:right="57"/>
        <w:rPr>
          <w:rFonts w:ascii="Times New Roman" w:hAnsi="Times New Roman" w:cs="Times New Roman"/>
          <w:color w:val="000000" w:themeColor="text1"/>
          <w:sz w:val="26"/>
          <w:szCs w:val="26"/>
        </w:rPr>
      </w:pPr>
    </w:p>
    <w:p w:rsidR="009717F4" w:rsidRPr="000B51FF" w:rsidRDefault="009717F4" w:rsidP="009717F4">
      <w:pPr>
        <w:spacing w:after="0" w:line="240" w:lineRule="auto"/>
        <w:ind w:left="57" w:right="57"/>
        <w:rPr>
          <w:rFonts w:ascii="Times New Roman" w:hAnsi="Times New Roman" w:cs="Times New Roman"/>
          <w:color w:val="000000" w:themeColor="text1"/>
          <w:sz w:val="26"/>
          <w:szCs w:val="26"/>
        </w:rPr>
      </w:pPr>
      <w:r w:rsidRPr="000B51FF">
        <w:rPr>
          <w:rFonts w:ascii="Times New Roman" w:hAnsi="Times New Roman" w:cs="Times New Roman"/>
          <w:color w:val="000000" w:themeColor="text1"/>
          <w:sz w:val="26"/>
          <w:szCs w:val="26"/>
        </w:rPr>
        <w:t>Anotācijas III, IV un V</w:t>
      </w:r>
      <w:proofErr w:type="gramStart"/>
      <w:r w:rsidRPr="000B51FF">
        <w:rPr>
          <w:rFonts w:ascii="Times New Roman" w:hAnsi="Times New Roman" w:cs="Times New Roman"/>
          <w:color w:val="000000" w:themeColor="text1"/>
          <w:sz w:val="26"/>
          <w:szCs w:val="26"/>
        </w:rPr>
        <w:t xml:space="preserve">  </w:t>
      </w:r>
      <w:proofErr w:type="gramEnd"/>
      <w:r w:rsidRPr="000B51FF">
        <w:rPr>
          <w:rFonts w:ascii="Times New Roman" w:hAnsi="Times New Roman" w:cs="Times New Roman"/>
          <w:color w:val="000000" w:themeColor="text1"/>
          <w:sz w:val="26"/>
          <w:szCs w:val="26"/>
        </w:rPr>
        <w:t xml:space="preserve">sadaļa - projekts šīs jomas neskar. </w:t>
      </w:r>
    </w:p>
    <w:p w:rsidR="009717F4" w:rsidRPr="000B51FF" w:rsidRDefault="009717F4" w:rsidP="009717F4">
      <w:pPr>
        <w:spacing w:after="0" w:line="240" w:lineRule="auto"/>
        <w:ind w:left="57" w:right="57"/>
        <w:rPr>
          <w:rFonts w:ascii="Times New Roman" w:hAnsi="Times New Roman" w:cs="Times New Roman"/>
          <w:color w:val="000000" w:themeColor="text1"/>
          <w:sz w:val="26"/>
          <w:szCs w:val="26"/>
        </w:rPr>
      </w:pPr>
    </w:p>
    <w:p w:rsidR="009E3E9F" w:rsidRPr="000B51FF" w:rsidRDefault="00D50CF4" w:rsidP="009717F4">
      <w:pPr>
        <w:spacing w:after="0" w:line="240" w:lineRule="auto"/>
        <w:ind w:left="57" w:right="57"/>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p>
    <w:p w:rsidR="000967B7" w:rsidRPr="000B51FF" w:rsidRDefault="000967B7" w:rsidP="000967B7">
      <w:pPr>
        <w:pStyle w:val="NoSpacing"/>
        <w:rPr>
          <w:rFonts w:ascii="Times New Roman" w:hAnsi="Times New Roman" w:cs="Times New Roman"/>
          <w:color w:val="000000" w:themeColor="text1"/>
          <w:sz w:val="24"/>
          <w:szCs w:val="24"/>
        </w:rPr>
      </w:pPr>
      <w:r w:rsidRPr="000B51FF">
        <w:rPr>
          <w:rFonts w:ascii="Times New Roman" w:hAnsi="Times New Roman" w:cs="Times New Roman"/>
          <w:color w:val="000000" w:themeColor="text1"/>
          <w:sz w:val="24"/>
          <w:szCs w:val="24"/>
        </w:rPr>
        <w:t xml:space="preserve">Ministru prezidents </w:t>
      </w:r>
      <w:r w:rsidRPr="000B51FF">
        <w:rPr>
          <w:rFonts w:ascii="Times New Roman" w:hAnsi="Times New Roman" w:cs="Times New Roman"/>
          <w:color w:val="000000" w:themeColor="text1"/>
          <w:sz w:val="24"/>
          <w:szCs w:val="24"/>
        </w:rPr>
        <w:tab/>
      </w:r>
      <w:r w:rsidRPr="000B51FF">
        <w:rPr>
          <w:rFonts w:ascii="Times New Roman" w:hAnsi="Times New Roman" w:cs="Times New Roman"/>
          <w:color w:val="000000" w:themeColor="text1"/>
          <w:sz w:val="24"/>
          <w:szCs w:val="24"/>
        </w:rPr>
        <w:tab/>
      </w:r>
      <w:r w:rsidRPr="000B51FF">
        <w:rPr>
          <w:rFonts w:ascii="Times New Roman" w:hAnsi="Times New Roman" w:cs="Times New Roman"/>
          <w:color w:val="000000" w:themeColor="text1"/>
          <w:sz w:val="24"/>
          <w:szCs w:val="24"/>
        </w:rPr>
        <w:tab/>
      </w:r>
      <w:r w:rsidRPr="000B51FF">
        <w:rPr>
          <w:rFonts w:ascii="Times New Roman" w:hAnsi="Times New Roman" w:cs="Times New Roman"/>
          <w:color w:val="000000" w:themeColor="text1"/>
          <w:sz w:val="24"/>
          <w:szCs w:val="24"/>
        </w:rPr>
        <w:tab/>
      </w:r>
      <w:r w:rsidRPr="000B51FF">
        <w:rPr>
          <w:rFonts w:ascii="Times New Roman" w:hAnsi="Times New Roman" w:cs="Times New Roman"/>
          <w:color w:val="000000" w:themeColor="text1"/>
          <w:sz w:val="24"/>
          <w:szCs w:val="24"/>
        </w:rPr>
        <w:tab/>
        <w:t>L.Straujuma</w:t>
      </w:r>
    </w:p>
    <w:p w:rsidR="000967B7" w:rsidRPr="000B51FF" w:rsidRDefault="000967B7" w:rsidP="000967B7">
      <w:pPr>
        <w:pStyle w:val="NoSpacing"/>
        <w:rPr>
          <w:rFonts w:ascii="Times New Roman" w:hAnsi="Times New Roman" w:cs="Times New Roman"/>
          <w:color w:val="000000" w:themeColor="text1"/>
          <w:sz w:val="24"/>
          <w:szCs w:val="24"/>
        </w:rPr>
      </w:pPr>
    </w:p>
    <w:p w:rsidR="000967B7" w:rsidRPr="000B51FF" w:rsidRDefault="000967B7" w:rsidP="000967B7">
      <w:pPr>
        <w:pStyle w:val="NoSpacing"/>
        <w:rPr>
          <w:rFonts w:ascii="Times New Roman" w:hAnsi="Times New Roman" w:cs="Times New Roman"/>
          <w:color w:val="000000" w:themeColor="text1"/>
          <w:sz w:val="24"/>
          <w:szCs w:val="24"/>
        </w:rPr>
      </w:pPr>
      <w:r w:rsidRPr="000B51FF">
        <w:rPr>
          <w:rFonts w:ascii="Times New Roman" w:hAnsi="Times New Roman" w:cs="Times New Roman"/>
          <w:color w:val="000000" w:themeColor="text1"/>
          <w:sz w:val="24"/>
          <w:szCs w:val="24"/>
        </w:rPr>
        <w:t xml:space="preserve">Vides aizsardzības un </w:t>
      </w:r>
      <w:r w:rsidRPr="000B51FF">
        <w:rPr>
          <w:rFonts w:ascii="Times New Roman" w:hAnsi="Times New Roman" w:cs="Times New Roman"/>
          <w:color w:val="000000" w:themeColor="text1"/>
          <w:sz w:val="24"/>
          <w:szCs w:val="24"/>
        </w:rPr>
        <w:br/>
        <w:t xml:space="preserve">reģionālās attīstības ministrs </w:t>
      </w:r>
      <w:r w:rsidRPr="000B51FF">
        <w:rPr>
          <w:rFonts w:ascii="Times New Roman" w:hAnsi="Times New Roman" w:cs="Times New Roman"/>
          <w:color w:val="000000" w:themeColor="text1"/>
          <w:sz w:val="24"/>
          <w:szCs w:val="24"/>
        </w:rPr>
        <w:tab/>
      </w:r>
      <w:r w:rsidRPr="000B51FF">
        <w:rPr>
          <w:rFonts w:ascii="Times New Roman" w:hAnsi="Times New Roman" w:cs="Times New Roman"/>
          <w:color w:val="000000" w:themeColor="text1"/>
          <w:sz w:val="24"/>
          <w:szCs w:val="24"/>
        </w:rPr>
        <w:tab/>
      </w:r>
      <w:r w:rsidRPr="000B51FF">
        <w:rPr>
          <w:rFonts w:ascii="Times New Roman" w:hAnsi="Times New Roman" w:cs="Times New Roman"/>
          <w:color w:val="000000" w:themeColor="text1"/>
          <w:sz w:val="24"/>
          <w:szCs w:val="24"/>
        </w:rPr>
        <w:tab/>
      </w:r>
      <w:r w:rsidRPr="000B51FF">
        <w:rPr>
          <w:rFonts w:ascii="Times New Roman" w:hAnsi="Times New Roman" w:cs="Times New Roman"/>
          <w:color w:val="000000" w:themeColor="text1"/>
          <w:sz w:val="24"/>
          <w:szCs w:val="24"/>
        </w:rPr>
        <w:tab/>
        <w:t>K.Gerhards</w:t>
      </w:r>
    </w:p>
    <w:p w:rsidR="000967B7" w:rsidRPr="000B51FF" w:rsidRDefault="000967B7" w:rsidP="000967B7">
      <w:pPr>
        <w:pStyle w:val="NoSpacing"/>
        <w:rPr>
          <w:rFonts w:ascii="Times New Roman" w:hAnsi="Times New Roman" w:cs="Times New Roman"/>
          <w:color w:val="000000" w:themeColor="text1"/>
          <w:sz w:val="24"/>
          <w:szCs w:val="24"/>
        </w:rPr>
      </w:pPr>
    </w:p>
    <w:p w:rsidR="000967B7" w:rsidRPr="000B51FF" w:rsidRDefault="000967B7" w:rsidP="000967B7">
      <w:pPr>
        <w:pStyle w:val="NoSpacing"/>
        <w:rPr>
          <w:rFonts w:ascii="Times New Roman" w:hAnsi="Times New Roman" w:cs="Times New Roman"/>
          <w:color w:val="000000" w:themeColor="text1"/>
          <w:sz w:val="24"/>
          <w:szCs w:val="24"/>
        </w:rPr>
      </w:pPr>
      <w:r w:rsidRPr="000B51FF">
        <w:rPr>
          <w:rFonts w:ascii="Times New Roman" w:hAnsi="Times New Roman" w:cs="Times New Roman"/>
          <w:color w:val="000000" w:themeColor="text1"/>
          <w:sz w:val="24"/>
          <w:szCs w:val="24"/>
        </w:rPr>
        <w:t>Iesniedzējs:</w:t>
      </w:r>
    </w:p>
    <w:p w:rsidR="000967B7" w:rsidRPr="000B51FF" w:rsidRDefault="000967B7" w:rsidP="000967B7">
      <w:pPr>
        <w:pStyle w:val="NoSpacing"/>
        <w:rPr>
          <w:rFonts w:ascii="Times New Roman" w:hAnsi="Times New Roman" w:cs="Times New Roman"/>
          <w:color w:val="000000" w:themeColor="text1"/>
          <w:sz w:val="24"/>
          <w:szCs w:val="24"/>
        </w:rPr>
      </w:pPr>
      <w:r w:rsidRPr="000B51FF">
        <w:rPr>
          <w:rFonts w:ascii="Times New Roman" w:hAnsi="Times New Roman" w:cs="Times New Roman"/>
          <w:color w:val="000000" w:themeColor="text1"/>
          <w:sz w:val="24"/>
          <w:szCs w:val="24"/>
        </w:rPr>
        <w:t xml:space="preserve">Vides aizsardzības un reģionālās </w:t>
      </w:r>
    </w:p>
    <w:p w:rsidR="00CF4076" w:rsidRPr="000B51FF" w:rsidRDefault="000967B7" w:rsidP="000967B7">
      <w:pPr>
        <w:pStyle w:val="NoSpacing"/>
        <w:rPr>
          <w:rFonts w:ascii="Times New Roman" w:hAnsi="Times New Roman" w:cs="Times New Roman"/>
          <w:color w:val="000000" w:themeColor="text1"/>
          <w:sz w:val="24"/>
          <w:szCs w:val="24"/>
        </w:rPr>
      </w:pPr>
      <w:r w:rsidRPr="000B51FF">
        <w:rPr>
          <w:rFonts w:ascii="Times New Roman" w:hAnsi="Times New Roman" w:cs="Times New Roman"/>
          <w:color w:val="000000" w:themeColor="text1"/>
          <w:sz w:val="24"/>
          <w:szCs w:val="24"/>
        </w:rPr>
        <w:t>attīstī</w:t>
      </w:r>
      <w:r w:rsidR="00CF4076" w:rsidRPr="000B51FF">
        <w:rPr>
          <w:rFonts w:ascii="Times New Roman" w:hAnsi="Times New Roman" w:cs="Times New Roman"/>
          <w:color w:val="000000" w:themeColor="text1"/>
          <w:sz w:val="24"/>
          <w:szCs w:val="24"/>
        </w:rPr>
        <w:t xml:space="preserve">bas ministrijas valsts sekretāra </w:t>
      </w:r>
      <w:proofErr w:type="spellStart"/>
      <w:r w:rsidR="00CF4076" w:rsidRPr="000B51FF">
        <w:rPr>
          <w:rFonts w:ascii="Times New Roman" w:hAnsi="Times New Roman" w:cs="Times New Roman"/>
          <w:color w:val="000000" w:themeColor="text1"/>
          <w:sz w:val="24"/>
          <w:szCs w:val="24"/>
        </w:rPr>
        <w:t>p.i</w:t>
      </w:r>
      <w:proofErr w:type="spellEnd"/>
      <w:r w:rsidR="00CF4076" w:rsidRPr="000B51FF">
        <w:rPr>
          <w:rFonts w:ascii="Times New Roman" w:hAnsi="Times New Roman" w:cs="Times New Roman"/>
          <w:color w:val="000000" w:themeColor="text1"/>
          <w:sz w:val="24"/>
          <w:szCs w:val="24"/>
        </w:rPr>
        <w:t>.</w:t>
      </w:r>
    </w:p>
    <w:p w:rsidR="000967B7" w:rsidRPr="000B51FF" w:rsidRDefault="00CF4076" w:rsidP="000967B7">
      <w:pPr>
        <w:pStyle w:val="NoSpacing"/>
        <w:rPr>
          <w:rFonts w:ascii="Times New Roman" w:hAnsi="Times New Roman" w:cs="Times New Roman"/>
          <w:color w:val="000000" w:themeColor="text1"/>
          <w:sz w:val="24"/>
          <w:szCs w:val="24"/>
        </w:rPr>
      </w:pPr>
      <w:r w:rsidRPr="000B51FF">
        <w:rPr>
          <w:rFonts w:ascii="Times New Roman" w:hAnsi="Times New Roman" w:cs="Times New Roman"/>
          <w:color w:val="000000" w:themeColor="text1"/>
          <w:sz w:val="24"/>
          <w:szCs w:val="24"/>
        </w:rPr>
        <w:t>valsts sekretāra vietniece</w:t>
      </w:r>
      <w:r w:rsidR="000967B7" w:rsidRPr="000B51FF">
        <w:rPr>
          <w:rFonts w:ascii="Times New Roman" w:hAnsi="Times New Roman" w:cs="Times New Roman"/>
          <w:color w:val="000000" w:themeColor="text1"/>
          <w:sz w:val="24"/>
          <w:szCs w:val="24"/>
        </w:rPr>
        <w:tab/>
      </w:r>
      <w:r w:rsidR="000967B7" w:rsidRPr="000B51FF">
        <w:rPr>
          <w:rFonts w:ascii="Times New Roman" w:hAnsi="Times New Roman" w:cs="Times New Roman"/>
          <w:color w:val="000000" w:themeColor="text1"/>
          <w:sz w:val="24"/>
          <w:szCs w:val="24"/>
        </w:rPr>
        <w:tab/>
      </w:r>
      <w:r w:rsidRPr="000B51FF">
        <w:rPr>
          <w:rFonts w:ascii="Times New Roman" w:hAnsi="Times New Roman" w:cs="Times New Roman"/>
          <w:color w:val="000000" w:themeColor="text1"/>
          <w:sz w:val="24"/>
          <w:szCs w:val="24"/>
        </w:rPr>
        <w:t xml:space="preserve"> </w:t>
      </w:r>
      <w:r w:rsidRPr="000B51FF">
        <w:rPr>
          <w:rFonts w:ascii="Times New Roman" w:hAnsi="Times New Roman" w:cs="Times New Roman"/>
          <w:color w:val="000000" w:themeColor="text1"/>
          <w:sz w:val="24"/>
          <w:szCs w:val="24"/>
        </w:rPr>
        <w:tab/>
      </w:r>
      <w:r w:rsidRPr="000B51FF">
        <w:rPr>
          <w:rFonts w:ascii="Times New Roman" w:hAnsi="Times New Roman" w:cs="Times New Roman"/>
          <w:color w:val="000000" w:themeColor="text1"/>
          <w:sz w:val="24"/>
          <w:szCs w:val="24"/>
        </w:rPr>
        <w:tab/>
        <w:t>E.Turka</w:t>
      </w:r>
    </w:p>
    <w:p w:rsidR="000967B7" w:rsidRPr="000B51FF" w:rsidRDefault="000967B7" w:rsidP="000967B7">
      <w:pPr>
        <w:pStyle w:val="NoSpacing"/>
        <w:rPr>
          <w:rFonts w:ascii="Times New Roman" w:hAnsi="Times New Roman" w:cs="Times New Roman"/>
          <w:color w:val="000000" w:themeColor="text1"/>
          <w:sz w:val="24"/>
          <w:szCs w:val="24"/>
        </w:rPr>
      </w:pPr>
    </w:p>
    <w:p w:rsidR="000967B7" w:rsidRPr="000B51FF" w:rsidRDefault="000967B7" w:rsidP="000967B7">
      <w:pPr>
        <w:pStyle w:val="NoSpacing"/>
        <w:rPr>
          <w:rFonts w:ascii="Times New Roman" w:hAnsi="Times New Roman" w:cs="Times New Roman"/>
          <w:color w:val="000000" w:themeColor="text1"/>
          <w:sz w:val="24"/>
          <w:szCs w:val="24"/>
        </w:rPr>
      </w:pPr>
    </w:p>
    <w:p w:rsidR="000967B7" w:rsidRPr="000B51FF" w:rsidRDefault="000967B7" w:rsidP="000967B7">
      <w:pPr>
        <w:pStyle w:val="NoSpacing"/>
        <w:rPr>
          <w:rFonts w:ascii="Times New Roman" w:hAnsi="Times New Roman" w:cs="Times New Roman"/>
          <w:color w:val="000000" w:themeColor="text1"/>
          <w:sz w:val="24"/>
          <w:szCs w:val="24"/>
        </w:rPr>
      </w:pPr>
    </w:p>
    <w:p w:rsidR="000967B7" w:rsidRPr="000B51FF" w:rsidRDefault="000967B7" w:rsidP="000967B7">
      <w:pPr>
        <w:pStyle w:val="NoSpacing"/>
        <w:rPr>
          <w:rFonts w:ascii="Times New Roman" w:hAnsi="Times New Roman" w:cs="Times New Roman"/>
          <w:color w:val="000000" w:themeColor="text1"/>
          <w:sz w:val="24"/>
          <w:szCs w:val="24"/>
          <w:highlight w:val="yellow"/>
        </w:rPr>
      </w:pPr>
    </w:p>
    <w:p w:rsidR="000967B7" w:rsidRPr="007E3FFC" w:rsidRDefault="008E1C39" w:rsidP="000967B7">
      <w:pPr>
        <w:pStyle w:val="NoSpacing"/>
        <w:rPr>
          <w:rFonts w:ascii="Times New Roman" w:hAnsi="Times New Roman" w:cs="Times New Roman"/>
          <w:color w:val="000000" w:themeColor="text1"/>
          <w:sz w:val="18"/>
          <w:szCs w:val="18"/>
        </w:rPr>
      </w:pPr>
      <w:r w:rsidRPr="007E3FFC">
        <w:rPr>
          <w:rFonts w:ascii="Times New Roman" w:hAnsi="Times New Roman" w:cs="Times New Roman"/>
          <w:color w:val="000000" w:themeColor="text1"/>
          <w:sz w:val="18"/>
          <w:szCs w:val="18"/>
        </w:rPr>
        <w:t>22.01</w:t>
      </w:r>
      <w:r w:rsidR="000967B7" w:rsidRPr="007E3FFC">
        <w:rPr>
          <w:rFonts w:ascii="Times New Roman" w:hAnsi="Times New Roman" w:cs="Times New Roman"/>
          <w:color w:val="000000" w:themeColor="text1"/>
          <w:sz w:val="18"/>
          <w:szCs w:val="18"/>
        </w:rPr>
        <w:t>.</w:t>
      </w:r>
      <w:r w:rsidRPr="007E3FFC">
        <w:rPr>
          <w:rFonts w:ascii="Times New Roman" w:hAnsi="Times New Roman" w:cs="Times New Roman"/>
          <w:color w:val="000000" w:themeColor="text1"/>
          <w:sz w:val="18"/>
          <w:szCs w:val="18"/>
        </w:rPr>
        <w:t>2016</w:t>
      </w:r>
      <w:r w:rsidR="000967B7" w:rsidRPr="007E3FFC">
        <w:rPr>
          <w:rFonts w:ascii="Times New Roman" w:hAnsi="Times New Roman" w:cs="Times New Roman"/>
          <w:color w:val="000000" w:themeColor="text1"/>
          <w:sz w:val="18"/>
          <w:szCs w:val="18"/>
        </w:rPr>
        <w:t>.</w:t>
      </w:r>
    </w:p>
    <w:p w:rsidR="000967B7" w:rsidRPr="007E3FFC" w:rsidRDefault="008E1C39" w:rsidP="000967B7">
      <w:pPr>
        <w:pStyle w:val="NoSpacing"/>
        <w:rPr>
          <w:rFonts w:ascii="Times New Roman" w:hAnsi="Times New Roman" w:cs="Times New Roman"/>
          <w:color w:val="000000" w:themeColor="text1"/>
          <w:sz w:val="18"/>
          <w:szCs w:val="18"/>
        </w:rPr>
      </w:pPr>
      <w:r w:rsidRPr="007E3FFC">
        <w:rPr>
          <w:rFonts w:ascii="Times New Roman" w:hAnsi="Times New Roman" w:cs="Times New Roman"/>
          <w:color w:val="000000" w:themeColor="text1"/>
          <w:sz w:val="18"/>
          <w:szCs w:val="18"/>
        </w:rPr>
        <w:t>1358</w:t>
      </w:r>
    </w:p>
    <w:p w:rsidR="000967B7" w:rsidRPr="007E3FFC" w:rsidRDefault="000967B7" w:rsidP="000967B7">
      <w:pPr>
        <w:pStyle w:val="NoSpacing"/>
        <w:rPr>
          <w:rFonts w:ascii="Times New Roman" w:hAnsi="Times New Roman" w:cs="Times New Roman"/>
          <w:color w:val="000000" w:themeColor="text1"/>
          <w:sz w:val="18"/>
          <w:szCs w:val="18"/>
        </w:rPr>
      </w:pPr>
      <w:r w:rsidRPr="007E3FFC">
        <w:rPr>
          <w:rFonts w:ascii="Times New Roman" w:hAnsi="Times New Roman" w:cs="Times New Roman"/>
          <w:color w:val="000000" w:themeColor="text1"/>
          <w:sz w:val="18"/>
          <w:szCs w:val="18"/>
        </w:rPr>
        <w:t>I.Valdmane</w:t>
      </w:r>
    </w:p>
    <w:p w:rsidR="000967B7" w:rsidRPr="007E3FFC" w:rsidRDefault="000967B7" w:rsidP="000967B7">
      <w:pPr>
        <w:pStyle w:val="NoSpacing"/>
        <w:rPr>
          <w:rFonts w:ascii="Times New Roman" w:hAnsi="Times New Roman" w:cs="Times New Roman"/>
          <w:color w:val="000000" w:themeColor="text1"/>
          <w:sz w:val="18"/>
          <w:szCs w:val="18"/>
        </w:rPr>
      </w:pPr>
      <w:r w:rsidRPr="007E3FFC">
        <w:rPr>
          <w:rFonts w:ascii="Times New Roman" w:hAnsi="Times New Roman" w:cs="Times New Roman"/>
          <w:color w:val="000000" w:themeColor="text1"/>
          <w:sz w:val="18"/>
          <w:szCs w:val="18"/>
        </w:rPr>
        <w:t xml:space="preserve">67026921, </w:t>
      </w:r>
      <w:hyperlink r:id="rId8" w:history="1">
        <w:r w:rsidRPr="007E3FFC">
          <w:rPr>
            <w:rStyle w:val="Hyperlink"/>
            <w:rFonts w:ascii="Times New Roman" w:hAnsi="Times New Roman" w:cs="Times New Roman"/>
            <w:color w:val="000000" w:themeColor="text1"/>
            <w:sz w:val="18"/>
            <w:szCs w:val="18"/>
          </w:rPr>
          <w:t>ilma.valdmane@varam.gov.lv</w:t>
        </w:r>
      </w:hyperlink>
      <w:r w:rsidRPr="007E3FFC">
        <w:rPr>
          <w:rFonts w:ascii="Times New Roman" w:hAnsi="Times New Roman" w:cs="Times New Roman"/>
          <w:color w:val="000000" w:themeColor="text1"/>
          <w:sz w:val="18"/>
          <w:szCs w:val="18"/>
        </w:rPr>
        <w:t xml:space="preserve"> </w:t>
      </w:r>
    </w:p>
    <w:p w:rsidR="009717F4" w:rsidRPr="000B51FF" w:rsidRDefault="009717F4" w:rsidP="000967B7">
      <w:pPr>
        <w:pStyle w:val="NoSpacing"/>
        <w:rPr>
          <w:rFonts w:ascii="Times New Roman" w:hAnsi="Times New Roman" w:cs="Times New Roman"/>
          <w:color w:val="000000" w:themeColor="text1"/>
          <w:sz w:val="24"/>
          <w:szCs w:val="24"/>
        </w:rPr>
      </w:pPr>
    </w:p>
    <w:p w:rsidR="009717F4" w:rsidRPr="000B51FF" w:rsidRDefault="009717F4" w:rsidP="009717F4">
      <w:pPr>
        <w:rPr>
          <w:color w:val="000000" w:themeColor="text1"/>
        </w:rPr>
      </w:pPr>
    </w:p>
    <w:p w:rsidR="000967B7" w:rsidRPr="000B51FF" w:rsidRDefault="000967B7">
      <w:pPr>
        <w:rPr>
          <w:color w:val="000000" w:themeColor="text1"/>
        </w:rPr>
      </w:pPr>
    </w:p>
    <w:p w:rsidR="000967B7" w:rsidRPr="000B51FF" w:rsidRDefault="000967B7" w:rsidP="000967B7">
      <w:pPr>
        <w:rPr>
          <w:color w:val="000000" w:themeColor="text1"/>
        </w:rPr>
      </w:pPr>
    </w:p>
    <w:p w:rsidR="000967B7" w:rsidRPr="000B51FF" w:rsidRDefault="000967B7" w:rsidP="000967B7">
      <w:pPr>
        <w:rPr>
          <w:color w:val="000000" w:themeColor="text1"/>
        </w:rPr>
      </w:pPr>
    </w:p>
    <w:p w:rsidR="000967B7" w:rsidRPr="000B51FF" w:rsidRDefault="000967B7" w:rsidP="000967B7">
      <w:pPr>
        <w:rPr>
          <w:color w:val="000000" w:themeColor="text1"/>
        </w:rPr>
      </w:pPr>
    </w:p>
    <w:p w:rsidR="000967B7" w:rsidRPr="000B51FF" w:rsidRDefault="000967B7" w:rsidP="000967B7">
      <w:pPr>
        <w:rPr>
          <w:color w:val="000000" w:themeColor="text1"/>
        </w:rPr>
      </w:pPr>
    </w:p>
    <w:p w:rsidR="000967B7" w:rsidRPr="000B51FF" w:rsidRDefault="000967B7" w:rsidP="000967B7">
      <w:pPr>
        <w:rPr>
          <w:color w:val="000000" w:themeColor="text1"/>
        </w:rPr>
      </w:pPr>
    </w:p>
    <w:p w:rsidR="000967B7" w:rsidRPr="000B51FF" w:rsidRDefault="000967B7" w:rsidP="000967B7">
      <w:pPr>
        <w:rPr>
          <w:color w:val="000000" w:themeColor="text1"/>
        </w:rPr>
      </w:pPr>
    </w:p>
    <w:p w:rsidR="000967B7" w:rsidRPr="000B51FF" w:rsidRDefault="000967B7" w:rsidP="000967B7">
      <w:pPr>
        <w:rPr>
          <w:color w:val="000000" w:themeColor="text1"/>
        </w:rPr>
      </w:pPr>
    </w:p>
    <w:p w:rsidR="000967B7" w:rsidRPr="000B51FF" w:rsidRDefault="000967B7" w:rsidP="000967B7">
      <w:pPr>
        <w:rPr>
          <w:color w:val="000000" w:themeColor="text1"/>
        </w:rPr>
      </w:pPr>
    </w:p>
    <w:p w:rsidR="000967B7" w:rsidRPr="000B51FF" w:rsidRDefault="000967B7" w:rsidP="000967B7">
      <w:pPr>
        <w:rPr>
          <w:color w:val="000000" w:themeColor="text1"/>
        </w:rPr>
      </w:pPr>
    </w:p>
    <w:p w:rsidR="000967B7" w:rsidRPr="000B51FF" w:rsidRDefault="000967B7" w:rsidP="000967B7">
      <w:pPr>
        <w:rPr>
          <w:color w:val="000000" w:themeColor="text1"/>
        </w:rPr>
      </w:pPr>
    </w:p>
    <w:p w:rsidR="000967B7" w:rsidRPr="000B51FF" w:rsidRDefault="000967B7" w:rsidP="000967B7">
      <w:pPr>
        <w:rPr>
          <w:color w:val="000000" w:themeColor="text1"/>
        </w:rPr>
      </w:pPr>
    </w:p>
    <w:p w:rsidR="007B0D97" w:rsidRPr="000B51FF" w:rsidRDefault="007B0D97" w:rsidP="000967B7">
      <w:pPr>
        <w:ind w:firstLine="720"/>
        <w:rPr>
          <w:color w:val="000000" w:themeColor="text1"/>
        </w:rPr>
      </w:pPr>
    </w:p>
    <w:sectPr w:rsidR="007B0D97" w:rsidRPr="000B51FF" w:rsidSect="00541E3B">
      <w:headerReference w:type="default" r:id="rId9"/>
      <w:footerReference w:type="default" r:id="rId10"/>
      <w:footerReference w:type="first" r:id="rId11"/>
      <w:pgSz w:w="11906" w:h="16838"/>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2B25" w:rsidRDefault="003F2B25" w:rsidP="00AA4FE2">
      <w:pPr>
        <w:spacing w:after="0" w:line="240" w:lineRule="auto"/>
      </w:pPr>
      <w:r>
        <w:separator/>
      </w:r>
    </w:p>
  </w:endnote>
  <w:endnote w:type="continuationSeparator" w:id="0">
    <w:p w:rsidR="003F2B25" w:rsidRDefault="003F2B25" w:rsidP="00AA4F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4D4B" w:rsidRPr="00374D4B" w:rsidRDefault="00374D4B" w:rsidP="00374D4B">
    <w:pPr>
      <w:pStyle w:val="Footer"/>
      <w:jc w:val="both"/>
      <w:rPr>
        <w:rFonts w:ascii="Times New Roman" w:hAnsi="Times New Roman" w:cs="Times New Roman"/>
        <w:sz w:val="18"/>
        <w:szCs w:val="18"/>
      </w:rPr>
    </w:pPr>
    <w:r w:rsidRPr="00374D4B">
      <w:rPr>
        <w:rFonts w:ascii="Times New Roman" w:hAnsi="Times New Roman" w:cs="Times New Roman"/>
        <w:sz w:val="18"/>
        <w:szCs w:val="18"/>
      </w:rPr>
      <w:t>VARAManot_220116; Ministru kabineta noteikumu projekts „Grozījumi Ministru kabineta 2013. gada 30. aprīļa noteikumos Nr.240 „Vispārīgie teritorijas plānošanas, izmantošanas un apbūves noteikumi”” sākotnējās ietekmes novērtējuma ziņojums (anotācija)</w:t>
    </w:r>
  </w:p>
  <w:p w:rsidR="00374D4B" w:rsidRPr="00374D4B" w:rsidRDefault="00374D4B" w:rsidP="00374D4B">
    <w:pPr>
      <w:pStyle w:val="Footer"/>
      <w:rPr>
        <w:rFonts w:ascii="Times New Roman" w:hAnsi="Times New Roman" w:cs="Times New Roman"/>
        <w:sz w:val="18"/>
        <w:szCs w:val="18"/>
      </w:rPr>
    </w:pPr>
  </w:p>
  <w:p w:rsidR="00DC49A7" w:rsidRPr="00374D4B" w:rsidRDefault="00DC49A7" w:rsidP="00374D4B">
    <w:pPr>
      <w:pStyle w:val="Footer"/>
      <w:rPr>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4D4B" w:rsidRPr="00374D4B" w:rsidRDefault="00374D4B" w:rsidP="00374D4B">
    <w:pPr>
      <w:pStyle w:val="Footer"/>
      <w:jc w:val="both"/>
      <w:rPr>
        <w:rFonts w:ascii="Times New Roman" w:hAnsi="Times New Roman" w:cs="Times New Roman"/>
        <w:sz w:val="18"/>
        <w:szCs w:val="18"/>
      </w:rPr>
    </w:pPr>
    <w:r w:rsidRPr="00374D4B">
      <w:rPr>
        <w:rFonts w:ascii="Times New Roman" w:hAnsi="Times New Roman" w:cs="Times New Roman"/>
        <w:sz w:val="18"/>
        <w:szCs w:val="18"/>
      </w:rPr>
      <w:t>VARAManot_220116; Ministru kabineta noteikumu projekts „Grozījumi Ministru kabineta 2013. gada 30. aprīļa noteikumos Nr.240 „Vispārīgie teritorijas plānošanas, izmantošanas un apbūves noteikumi”” sākotnējās ietekmes novērtējuma ziņojums (anotācija)</w:t>
    </w:r>
  </w:p>
  <w:p w:rsidR="00DC49A7" w:rsidRPr="00775DDC" w:rsidRDefault="00DC49A7" w:rsidP="00775D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2B25" w:rsidRDefault="003F2B25" w:rsidP="00AA4FE2">
      <w:pPr>
        <w:spacing w:after="0" w:line="240" w:lineRule="auto"/>
      </w:pPr>
      <w:r>
        <w:separator/>
      </w:r>
    </w:p>
  </w:footnote>
  <w:footnote w:type="continuationSeparator" w:id="0">
    <w:p w:rsidR="003F2B25" w:rsidRDefault="003F2B25" w:rsidP="00AA4F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0157401"/>
      <w:docPartObj>
        <w:docPartGallery w:val="Page Numbers (Top of Page)"/>
        <w:docPartUnique/>
      </w:docPartObj>
    </w:sdtPr>
    <w:sdtEndPr>
      <w:rPr>
        <w:noProof/>
      </w:rPr>
    </w:sdtEndPr>
    <w:sdtContent>
      <w:p w:rsidR="00DC49A7" w:rsidRDefault="00AD717D">
        <w:pPr>
          <w:pStyle w:val="Header"/>
          <w:jc w:val="center"/>
        </w:pPr>
        <w:r>
          <w:fldChar w:fldCharType="begin"/>
        </w:r>
        <w:r w:rsidR="00DC49A7">
          <w:instrText xml:space="preserve"> PAGE   \* MERGEFORMAT </w:instrText>
        </w:r>
        <w:r>
          <w:fldChar w:fldCharType="separate"/>
        </w:r>
        <w:r w:rsidR="00F27F5E">
          <w:rPr>
            <w:noProof/>
          </w:rPr>
          <w:t>6</w:t>
        </w:r>
        <w:r>
          <w:rPr>
            <w:noProof/>
          </w:rPr>
          <w:fldChar w:fldCharType="end"/>
        </w:r>
      </w:p>
    </w:sdtContent>
  </w:sdt>
  <w:p w:rsidR="00DC49A7" w:rsidRDefault="00DC49A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41A28"/>
    <w:multiLevelType w:val="hybridMultilevel"/>
    <w:tmpl w:val="B9604FF0"/>
    <w:lvl w:ilvl="0" w:tplc="083C3B22">
      <w:start w:val="1"/>
      <w:numFmt w:val="decimal"/>
      <w:lvlText w:val="%1)"/>
      <w:lvlJc w:val="left"/>
      <w:pPr>
        <w:ind w:left="417" w:hanging="360"/>
      </w:pPr>
      <w:rPr>
        <w:rFonts w:eastAsia="Times New Roman" w:hint="default"/>
        <w:color w:val="auto"/>
        <w:sz w:val="24"/>
        <w:szCs w:val="24"/>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1" w15:restartNumberingAfterBreak="0">
    <w:nsid w:val="0A9F2BA2"/>
    <w:multiLevelType w:val="hybridMultilevel"/>
    <w:tmpl w:val="0F8CCAEA"/>
    <w:lvl w:ilvl="0" w:tplc="0426000F">
      <w:start w:val="9"/>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3321053"/>
    <w:multiLevelType w:val="hybridMultilevel"/>
    <w:tmpl w:val="01B8691C"/>
    <w:lvl w:ilvl="0" w:tplc="0426000F">
      <w:start w:val="1"/>
      <w:numFmt w:val="decimal"/>
      <w:lvlText w:val="%1."/>
      <w:lvlJc w:val="left"/>
      <w:pPr>
        <w:ind w:left="502" w:hanging="360"/>
      </w:pPr>
      <w:rPr>
        <w:rFonts w:eastAsia="Times New Roman" w:hint="default"/>
        <w:color w:val="auto"/>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A490EAC"/>
    <w:multiLevelType w:val="hybridMultilevel"/>
    <w:tmpl w:val="278209D2"/>
    <w:lvl w:ilvl="0" w:tplc="43044B10">
      <w:start w:val="1"/>
      <w:numFmt w:val="decimal"/>
      <w:lvlText w:val="%1."/>
      <w:lvlJc w:val="left"/>
      <w:pPr>
        <w:ind w:left="1080" w:hanging="360"/>
      </w:pPr>
      <w:rPr>
        <w:rFonts w:hint="default"/>
        <w:color w:val="auto"/>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15:restartNumberingAfterBreak="0">
    <w:nsid w:val="25B8377B"/>
    <w:multiLevelType w:val="hybridMultilevel"/>
    <w:tmpl w:val="40E851EE"/>
    <w:lvl w:ilvl="0" w:tplc="689807B6">
      <w:start w:val="13"/>
      <w:numFmt w:val="bullet"/>
      <w:lvlText w:val="-"/>
      <w:lvlJc w:val="left"/>
      <w:pPr>
        <w:ind w:left="417" w:hanging="360"/>
      </w:pPr>
      <w:rPr>
        <w:rFonts w:ascii="Times New Roman" w:eastAsia="Times New Roman" w:hAnsi="Times New Roman" w:cs="Times New Roman" w:hint="default"/>
      </w:rPr>
    </w:lvl>
    <w:lvl w:ilvl="1" w:tplc="04260003" w:tentative="1">
      <w:start w:val="1"/>
      <w:numFmt w:val="bullet"/>
      <w:lvlText w:val="o"/>
      <w:lvlJc w:val="left"/>
      <w:pPr>
        <w:ind w:left="1137" w:hanging="360"/>
      </w:pPr>
      <w:rPr>
        <w:rFonts w:ascii="Courier New" w:hAnsi="Courier New" w:cs="Courier New" w:hint="default"/>
      </w:rPr>
    </w:lvl>
    <w:lvl w:ilvl="2" w:tplc="04260005" w:tentative="1">
      <w:start w:val="1"/>
      <w:numFmt w:val="bullet"/>
      <w:lvlText w:val=""/>
      <w:lvlJc w:val="left"/>
      <w:pPr>
        <w:ind w:left="1857" w:hanging="360"/>
      </w:pPr>
      <w:rPr>
        <w:rFonts w:ascii="Wingdings" w:hAnsi="Wingdings" w:hint="default"/>
      </w:rPr>
    </w:lvl>
    <w:lvl w:ilvl="3" w:tplc="04260001" w:tentative="1">
      <w:start w:val="1"/>
      <w:numFmt w:val="bullet"/>
      <w:lvlText w:val=""/>
      <w:lvlJc w:val="left"/>
      <w:pPr>
        <w:ind w:left="2577" w:hanging="360"/>
      </w:pPr>
      <w:rPr>
        <w:rFonts w:ascii="Symbol" w:hAnsi="Symbol" w:hint="default"/>
      </w:rPr>
    </w:lvl>
    <w:lvl w:ilvl="4" w:tplc="04260003" w:tentative="1">
      <w:start w:val="1"/>
      <w:numFmt w:val="bullet"/>
      <w:lvlText w:val="o"/>
      <w:lvlJc w:val="left"/>
      <w:pPr>
        <w:ind w:left="3297" w:hanging="360"/>
      </w:pPr>
      <w:rPr>
        <w:rFonts w:ascii="Courier New" w:hAnsi="Courier New" w:cs="Courier New" w:hint="default"/>
      </w:rPr>
    </w:lvl>
    <w:lvl w:ilvl="5" w:tplc="04260005" w:tentative="1">
      <w:start w:val="1"/>
      <w:numFmt w:val="bullet"/>
      <w:lvlText w:val=""/>
      <w:lvlJc w:val="left"/>
      <w:pPr>
        <w:ind w:left="4017" w:hanging="360"/>
      </w:pPr>
      <w:rPr>
        <w:rFonts w:ascii="Wingdings" w:hAnsi="Wingdings" w:hint="default"/>
      </w:rPr>
    </w:lvl>
    <w:lvl w:ilvl="6" w:tplc="04260001" w:tentative="1">
      <w:start w:val="1"/>
      <w:numFmt w:val="bullet"/>
      <w:lvlText w:val=""/>
      <w:lvlJc w:val="left"/>
      <w:pPr>
        <w:ind w:left="4737" w:hanging="360"/>
      </w:pPr>
      <w:rPr>
        <w:rFonts w:ascii="Symbol" w:hAnsi="Symbol" w:hint="default"/>
      </w:rPr>
    </w:lvl>
    <w:lvl w:ilvl="7" w:tplc="04260003" w:tentative="1">
      <w:start w:val="1"/>
      <w:numFmt w:val="bullet"/>
      <w:lvlText w:val="o"/>
      <w:lvlJc w:val="left"/>
      <w:pPr>
        <w:ind w:left="5457" w:hanging="360"/>
      </w:pPr>
      <w:rPr>
        <w:rFonts w:ascii="Courier New" w:hAnsi="Courier New" w:cs="Courier New" w:hint="default"/>
      </w:rPr>
    </w:lvl>
    <w:lvl w:ilvl="8" w:tplc="04260005" w:tentative="1">
      <w:start w:val="1"/>
      <w:numFmt w:val="bullet"/>
      <w:lvlText w:val=""/>
      <w:lvlJc w:val="left"/>
      <w:pPr>
        <w:ind w:left="6177" w:hanging="360"/>
      </w:pPr>
      <w:rPr>
        <w:rFonts w:ascii="Wingdings" w:hAnsi="Wingdings" w:hint="default"/>
      </w:rPr>
    </w:lvl>
  </w:abstractNum>
  <w:abstractNum w:abstractNumId="5" w15:restartNumberingAfterBreak="0">
    <w:nsid w:val="2D222039"/>
    <w:multiLevelType w:val="hybridMultilevel"/>
    <w:tmpl w:val="B9604FF0"/>
    <w:lvl w:ilvl="0" w:tplc="083C3B22">
      <w:start w:val="1"/>
      <w:numFmt w:val="decimal"/>
      <w:lvlText w:val="%1)"/>
      <w:lvlJc w:val="left"/>
      <w:pPr>
        <w:ind w:left="417" w:hanging="360"/>
      </w:pPr>
      <w:rPr>
        <w:rFonts w:eastAsia="Times New Roman" w:hint="default"/>
        <w:color w:val="auto"/>
        <w:sz w:val="24"/>
        <w:szCs w:val="24"/>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6" w15:restartNumberingAfterBreak="0">
    <w:nsid w:val="2E7164A6"/>
    <w:multiLevelType w:val="hybridMultilevel"/>
    <w:tmpl w:val="B3461C58"/>
    <w:lvl w:ilvl="0" w:tplc="298ADA84">
      <w:start w:val="1"/>
      <w:numFmt w:val="lowerLetter"/>
      <w:lvlText w:val="%1)"/>
      <w:lvlJc w:val="left"/>
      <w:pPr>
        <w:ind w:left="417" w:hanging="360"/>
      </w:pPr>
      <w:rPr>
        <w:rFonts w:hint="default"/>
        <w:sz w:val="22"/>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7" w15:restartNumberingAfterBreak="0">
    <w:nsid w:val="2EAB1312"/>
    <w:multiLevelType w:val="multilevel"/>
    <w:tmpl w:val="E5DAA3E2"/>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275CE7"/>
    <w:multiLevelType w:val="multilevel"/>
    <w:tmpl w:val="C7046BB6"/>
    <w:lvl w:ilvl="0">
      <w:start w:val="12"/>
      <w:numFmt w:val="decimal"/>
      <w:lvlText w:val="%1."/>
      <w:lvlJc w:val="left"/>
      <w:pPr>
        <w:ind w:left="480" w:hanging="480"/>
      </w:pPr>
      <w:rPr>
        <w:rFonts w:hint="default"/>
        <w:color w:val="auto"/>
      </w:rPr>
    </w:lvl>
    <w:lvl w:ilvl="1">
      <w:start w:val="1"/>
      <w:numFmt w:val="decimal"/>
      <w:lvlText w:val="%1.%2."/>
      <w:lvlJc w:val="left"/>
      <w:pPr>
        <w:ind w:left="840" w:hanging="48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9" w15:restartNumberingAfterBreak="0">
    <w:nsid w:val="39F34DB3"/>
    <w:multiLevelType w:val="hybridMultilevel"/>
    <w:tmpl w:val="01B8691C"/>
    <w:lvl w:ilvl="0" w:tplc="0426000F">
      <w:start w:val="1"/>
      <w:numFmt w:val="decimal"/>
      <w:lvlText w:val="%1."/>
      <w:lvlJc w:val="left"/>
      <w:pPr>
        <w:ind w:left="720" w:hanging="360"/>
      </w:pPr>
      <w:rPr>
        <w:rFonts w:eastAsia="Times New Roman" w:hint="default"/>
        <w:color w:val="auto"/>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46D637B5"/>
    <w:multiLevelType w:val="hybridMultilevel"/>
    <w:tmpl w:val="EB2A6CCA"/>
    <w:lvl w:ilvl="0" w:tplc="577EF168">
      <w:start w:val="1"/>
      <w:numFmt w:val="decimal"/>
      <w:lvlText w:val="%1."/>
      <w:lvlJc w:val="left"/>
      <w:pPr>
        <w:ind w:left="1080" w:hanging="72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4AB07A66"/>
    <w:multiLevelType w:val="hybridMultilevel"/>
    <w:tmpl w:val="278209D2"/>
    <w:lvl w:ilvl="0" w:tplc="43044B10">
      <w:start w:val="1"/>
      <w:numFmt w:val="decimal"/>
      <w:lvlText w:val="%1."/>
      <w:lvlJc w:val="left"/>
      <w:pPr>
        <w:ind w:left="1080" w:hanging="360"/>
      </w:pPr>
      <w:rPr>
        <w:rFonts w:hint="default"/>
        <w:color w:val="auto"/>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56776929"/>
    <w:multiLevelType w:val="hybridMultilevel"/>
    <w:tmpl w:val="01B8691C"/>
    <w:lvl w:ilvl="0" w:tplc="0426000F">
      <w:start w:val="1"/>
      <w:numFmt w:val="decimal"/>
      <w:lvlText w:val="%1."/>
      <w:lvlJc w:val="left"/>
      <w:pPr>
        <w:ind w:left="720" w:hanging="360"/>
      </w:pPr>
      <w:rPr>
        <w:rFonts w:eastAsia="Times New Roman" w:hint="default"/>
        <w:color w:val="auto"/>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5DB24FAA"/>
    <w:multiLevelType w:val="hybridMultilevel"/>
    <w:tmpl w:val="01B8691C"/>
    <w:lvl w:ilvl="0" w:tplc="0426000F">
      <w:start w:val="1"/>
      <w:numFmt w:val="decimal"/>
      <w:lvlText w:val="%1."/>
      <w:lvlJc w:val="left"/>
      <w:pPr>
        <w:ind w:left="502" w:hanging="360"/>
      </w:pPr>
      <w:rPr>
        <w:rFonts w:eastAsia="Times New Roman" w:hint="default"/>
        <w:color w:val="auto"/>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06A10C1"/>
    <w:multiLevelType w:val="hybridMultilevel"/>
    <w:tmpl w:val="90DA7B30"/>
    <w:lvl w:ilvl="0" w:tplc="D8FA9BEE">
      <w:start w:val="13"/>
      <w:numFmt w:val="decimal"/>
      <w:lvlText w:val="%1."/>
      <w:lvlJc w:val="left"/>
      <w:pPr>
        <w:ind w:left="1080" w:hanging="360"/>
      </w:pPr>
      <w:rPr>
        <w:rFonts w:hint="default"/>
        <w:u w:val="none"/>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5" w15:restartNumberingAfterBreak="0">
    <w:nsid w:val="67352825"/>
    <w:multiLevelType w:val="hybridMultilevel"/>
    <w:tmpl w:val="75E446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67E50C22"/>
    <w:multiLevelType w:val="hybridMultilevel"/>
    <w:tmpl w:val="01B8691C"/>
    <w:lvl w:ilvl="0" w:tplc="0426000F">
      <w:start w:val="1"/>
      <w:numFmt w:val="decimal"/>
      <w:lvlText w:val="%1."/>
      <w:lvlJc w:val="left"/>
      <w:pPr>
        <w:ind w:left="502" w:hanging="360"/>
      </w:pPr>
      <w:rPr>
        <w:rFonts w:eastAsia="Times New Roman" w:hint="default"/>
        <w:color w:val="auto"/>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6B660345"/>
    <w:multiLevelType w:val="hybridMultilevel"/>
    <w:tmpl w:val="41886C1C"/>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num w:numId="1">
    <w:abstractNumId w:val="4"/>
  </w:num>
  <w:num w:numId="2">
    <w:abstractNumId w:val="6"/>
  </w:num>
  <w:num w:numId="3">
    <w:abstractNumId w:val="0"/>
  </w:num>
  <w:num w:numId="4">
    <w:abstractNumId w:val="8"/>
  </w:num>
  <w:num w:numId="5">
    <w:abstractNumId w:val="7"/>
  </w:num>
  <w:num w:numId="6">
    <w:abstractNumId w:val="5"/>
  </w:num>
  <w:num w:numId="7">
    <w:abstractNumId w:val="3"/>
  </w:num>
  <w:num w:numId="8">
    <w:abstractNumId w:val="17"/>
  </w:num>
  <w:num w:numId="9">
    <w:abstractNumId w:val="15"/>
  </w:num>
  <w:num w:numId="10">
    <w:abstractNumId w:val="11"/>
  </w:num>
  <w:num w:numId="11">
    <w:abstractNumId w:val="2"/>
  </w:num>
  <w:num w:numId="12">
    <w:abstractNumId w:val="9"/>
  </w:num>
  <w:num w:numId="13">
    <w:abstractNumId w:val="12"/>
  </w:num>
  <w:num w:numId="14">
    <w:abstractNumId w:val="10"/>
  </w:num>
  <w:num w:numId="15">
    <w:abstractNumId w:val="1"/>
  </w:num>
  <w:num w:numId="16">
    <w:abstractNumId w:val="14"/>
  </w:num>
  <w:num w:numId="17">
    <w:abstractNumId w:val="13"/>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7F4"/>
    <w:rsid w:val="00016922"/>
    <w:rsid w:val="00023122"/>
    <w:rsid w:val="00026350"/>
    <w:rsid w:val="00034A66"/>
    <w:rsid w:val="00060918"/>
    <w:rsid w:val="00083924"/>
    <w:rsid w:val="000967B7"/>
    <w:rsid w:val="000B51FF"/>
    <w:rsid w:val="000F61EB"/>
    <w:rsid w:val="00111213"/>
    <w:rsid w:val="00115266"/>
    <w:rsid w:val="00130B37"/>
    <w:rsid w:val="00131CC1"/>
    <w:rsid w:val="0013572C"/>
    <w:rsid w:val="001357AF"/>
    <w:rsid w:val="00143F33"/>
    <w:rsid w:val="00157952"/>
    <w:rsid w:val="0016711F"/>
    <w:rsid w:val="001800B0"/>
    <w:rsid w:val="00190BF2"/>
    <w:rsid w:val="00197F87"/>
    <w:rsid w:val="001B7A1C"/>
    <w:rsid w:val="001E770E"/>
    <w:rsid w:val="00204BFB"/>
    <w:rsid w:val="002102DC"/>
    <w:rsid w:val="00212B97"/>
    <w:rsid w:val="00217CE5"/>
    <w:rsid w:val="00244834"/>
    <w:rsid w:val="002449DB"/>
    <w:rsid w:val="002929FC"/>
    <w:rsid w:val="00295D90"/>
    <w:rsid w:val="002B2A3B"/>
    <w:rsid w:val="002D0528"/>
    <w:rsid w:val="002D0D06"/>
    <w:rsid w:val="002F3C96"/>
    <w:rsid w:val="00301EA0"/>
    <w:rsid w:val="00307ADF"/>
    <w:rsid w:val="0031774B"/>
    <w:rsid w:val="00337F60"/>
    <w:rsid w:val="00340648"/>
    <w:rsid w:val="00372CD1"/>
    <w:rsid w:val="00374D4B"/>
    <w:rsid w:val="00394156"/>
    <w:rsid w:val="00395CF4"/>
    <w:rsid w:val="003D60B1"/>
    <w:rsid w:val="003E7342"/>
    <w:rsid w:val="003F0A7B"/>
    <w:rsid w:val="003F2B25"/>
    <w:rsid w:val="00455C29"/>
    <w:rsid w:val="00461757"/>
    <w:rsid w:val="004620AF"/>
    <w:rsid w:val="004748F2"/>
    <w:rsid w:val="00481669"/>
    <w:rsid w:val="004868CA"/>
    <w:rsid w:val="0048778E"/>
    <w:rsid w:val="004950BC"/>
    <w:rsid w:val="004C10F2"/>
    <w:rsid w:val="004F40A2"/>
    <w:rsid w:val="00511DBC"/>
    <w:rsid w:val="005232C6"/>
    <w:rsid w:val="00541E3B"/>
    <w:rsid w:val="005563C9"/>
    <w:rsid w:val="00571A53"/>
    <w:rsid w:val="00585AE3"/>
    <w:rsid w:val="005960D2"/>
    <w:rsid w:val="005A183D"/>
    <w:rsid w:val="005D3644"/>
    <w:rsid w:val="005D5C98"/>
    <w:rsid w:val="005F565F"/>
    <w:rsid w:val="00600AC3"/>
    <w:rsid w:val="00601265"/>
    <w:rsid w:val="00636321"/>
    <w:rsid w:val="006673A9"/>
    <w:rsid w:val="00682071"/>
    <w:rsid w:val="00697BB6"/>
    <w:rsid w:val="006B3130"/>
    <w:rsid w:val="006C6C75"/>
    <w:rsid w:val="006E07CB"/>
    <w:rsid w:val="006E41AA"/>
    <w:rsid w:val="006F6F25"/>
    <w:rsid w:val="00715B22"/>
    <w:rsid w:val="0072404C"/>
    <w:rsid w:val="007337F5"/>
    <w:rsid w:val="00734A7F"/>
    <w:rsid w:val="007408CC"/>
    <w:rsid w:val="00762650"/>
    <w:rsid w:val="00765476"/>
    <w:rsid w:val="00775DDC"/>
    <w:rsid w:val="0078261E"/>
    <w:rsid w:val="0078360C"/>
    <w:rsid w:val="00790C47"/>
    <w:rsid w:val="007A29E4"/>
    <w:rsid w:val="007B0D97"/>
    <w:rsid w:val="007E3FFC"/>
    <w:rsid w:val="007F4857"/>
    <w:rsid w:val="007F753F"/>
    <w:rsid w:val="007F7730"/>
    <w:rsid w:val="00802C8C"/>
    <w:rsid w:val="008053B1"/>
    <w:rsid w:val="00833223"/>
    <w:rsid w:val="008464D0"/>
    <w:rsid w:val="00855934"/>
    <w:rsid w:val="00865AEE"/>
    <w:rsid w:val="00886F73"/>
    <w:rsid w:val="008A33CF"/>
    <w:rsid w:val="008B16D4"/>
    <w:rsid w:val="008B6B68"/>
    <w:rsid w:val="008E1C39"/>
    <w:rsid w:val="00926312"/>
    <w:rsid w:val="0094075C"/>
    <w:rsid w:val="00951604"/>
    <w:rsid w:val="00951F09"/>
    <w:rsid w:val="009611E9"/>
    <w:rsid w:val="009717F4"/>
    <w:rsid w:val="00984FEF"/>
    <w:rsid w:val="0098797B"/>
    <w:rsid w:val="009A5D7A"/>
    <w:rsid w:val="009B13A6"/>
    <w:rsid w:val="009C51CD"/>
    <w:rsid w:val="009D3BAE"/>
    <w:rsid w:val="009E12C2"/>
    <w:rsid w:val="009E3699"/>
    <w:rsid w:val="009E3E9F"/>
    <w:rsid w:val="009E757A"/>
    <w:rsid w:val="00A11E2C"/>
    <w:rsid w:val="00A12D5E"/>
    <w:rsid w:val="00A1522F"/>
    <w:rsid w:val="00A16ACC"/>
    <w:rsid w:val="00A2507D"/>
    <w:rsid w:val="00A52043"/>
    <w:rsid w:val="00A555A0"/>
    <w:rsid w:val="00A63472"/>
    <w:rsid w:val="00A82B4B"/>
    <w:rsid w:val="00A94597"/>
    <w:rsid w:val="00AA4FE2"/>
    <w:rsid w:val="00AC1B81"/>
    <w:rsid w:val="00AD717D"/>
    <w:rsid w:val="00B069C0"/>
    <w:rsid w:val="00B27183"/>
    <w:rsid w:val="00B30344"/>
    <w:rsid w:val="00B51CE1"/>
    <w:rsid w:val="00B56CE9"/>
    <w:rsid w:val="00B76AA9"/>
    <w:rsid w:val="00B948E2"/>
    <w:rsid w:val="00BA0D4A"/>
    <w:rsid w:val="00BA1C33"/>
    <w:rsid w:val="00BC586E"/>
    <w:rsid w:val="00BE2FE4"/>
    <w:rsid w:val="00BE49D9"/>
    <w:rsid w:val="00BE7126"/>
    <w:rsid w:val="00C2650C"/>
    <w:rsid w:val="00C40985"/>
    <w:rsid w:val="00C429E2"/>
    <w:rsid w:val="00C579F0"/>
    <w:rsid w:val="00C83A79"/>
    <w:rsid w:val="00C85FA9"/>
    <w:rsid w:val="00CC1783"/>
    <w:rsid w:val="00CE2694"/>
    <w:rsid w:val="00CF4076"/>
    <w:rsid w:val="00CF73AC"/>
    <w:rsid w:val="00D00250"/>
    <w:rsid w:val="00D071F5"/>
    <w:rsid w:val="00D25734"/>
    <w:rsid w:val="00D45ECF"/>
    <w:rsid w:val="00D50CF4"/>
    <w:rsid w:val="00D52801"/>
    <w:rsid w:val="00D61B5F"/>
    <w:rsid w:val="00D73A53"/>
    <w:rsid w:val="00D7726E"/>
    <w:rsid w:val="00D77819"/>
    <w:rsid w:val="00D822B0"/>
    <w:rsid w:val="00D83B62"/>
    <w:rsid w:val="00DC49A7"/>
    <w:rsid w:val="00DD377D"/>
    <w:rsid w:val="00DF44E6"/>
    <w:rsid w:val="00DF55C1"/>
    <w:rsid w:val="00DF69CB"/>
    <w:rsid w:val="00E163A7"/>
    <w:rsid w:val="00E179D3"/>
    <w:rsid w:val="00E23E64"/>
    <w:rsid w:val="00E3500A"/>
    <w:rsid w:val="00E95B75"/>
    <w:rsid w:val="00EA14F9"/>
    <w:rsid w:val="00EB4A3D"/>
    <w:rsid w:val="00EC5CC3"/>
    <w:rsid w:val="00EC6666"/>
    <w:rsid w:val="00F122DB"/>
    <w:rsid w:val="00F13734"/>
    <w:rsid w:val="00F16C53"/>
    <w:rsid w:val="00F25865"/>
    <w:rsid w:val="00F27F5E"/>
    <w:rsid w:val="00F440C9"/>
    <w:rsid w:val="00F56588"/>
    <w:rsid w:val="00F71092"/>
    <w:rsid w:val="00F73A15"/>
    <w:rsid w:val="00F968AE"/>
    <w:rsid w:val="00FA049F"/>
    <w:rsid w:val="00FA3E72"/>
    <w:rsid w:val="00FB0810"/>
    <w:rsid w:val="00FC579B"/>
    <w:rsid w:val="00FD2424"/>
    <w:rsid w:val="00FD4789"/>
    <w:rsid w:val="00FE680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F002DF-7406-490D-B437-DB95B6F21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17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lab">
    <w:name w:val="naislab"/>
    <w:basedOn w:val="Normal"/>
    <w:rsid w:val="009717F4"/>
    <w:pPr>
      <w:spacing w:before="75" w:after="75" w:line="240" w:lineRule="auto"/>
      <w:jc w:val="right"/>
    </w:pPr>
    <w:rPr>
      <w:rFonts w:ascii="Times New Roman" w:eastAsia="Times New Roman" w:hAnsi="Times New Roman" w:cs="Times New Roman"/>
      <w:sz w:val="24"/>
      <w:szCs w:val="24"/>
      <w:lang w:eastAsia="lv-LV"/>
    </w:rPr>
  </w:style>
  <w:style w:type="character" w:styleId="Hyperlink">
    <w:name w:val="Hyperlink"/>
    <w:basedOn w:val="DefaultParagraphFont"/>
    <w:uiPriority w:val="99"/>
    <w:unhideWhenUsed/>
    <w:rsid w:val="009717F4"/>
    <w:rPr>
      <w:color w:val="0563C1" w:themeColor="hyperlink"/>
      <w:u w:val="single"/>
    </w:rPr>
  </w:style>
  <w:style w:type="paragraph" w:customStyle="1" w:styleId="naiskr">
    <w:name w:val="naiskr"/>
    <w:basedOn w:val="Normal"/>
    <w:rsid w:val="009717F4"/>
    <w:pPr>
      <w:spacing w:before="75" w:after="75" w:line="240" w:lineRule="auto"/>
    </w:pPr>
    <w:rPr>
      <w:rFonts w:ascii="Times New Roman" w:eastAsia="Times New Roman" w:hAnsi="Times New Roman" w:cs="Times New Roman"/>
      <w:sz w:val="24"/>
      <w:szCs w:val="24"/>
      <w:lang w:eastAsia="lv-LV"/>
    </w:rPr>
  </w:style>
  <w:style w:type="paragraph" w:customStyle="1" w:styleId="naisf">
    <w:name w:val="naisf"/>
    <w:basedOn w:val="Normal"/>
    <w:rsid w:val="009717F4"/>
    <w:pPr>
      <w:spacing w:before="75" w:after="75" w:line="240" w:lineRule="auto"/>
      <w:ind w:firstLine="375"/>
      <w:jc w:val="both"/>
    </w:pPr>
    <w:rPr>
      <w:rFonts w:ascii="Times New Roman" w:eastAsia="Times New Roman" w:hAnsi="Times New Roman" w:cs="Times New Roman"/>
      <w:sz w:val="24"/>
      <w:szCs w:val="24"/>
      <w:lang w:eastAsia="lv-LV"/>
    </w:rPr>
  </w:style>
  <w:style w:type="paragraph" w:customStyle="1" w:styleId="naisnod">
    <w:name w:val="naisnod"/>
    <w:basedOn w:val="Normal"/>
    <w:rsid w:val="009717F4"/>
    <w:pPr>
      <w:spacing w:before="150" w:after="150" w:line="240" w:lineRule="auto"/>
      <w:jc w:val="center"/>
    </w:pPr>
    <w:rPr>
      <w:rFonts w:ascii="Times New Roman" w:eastAsia="Times New Roman" w:hAnsi="Times New Roman" w:cs="Times New Roman"/>
      <w:b/>
      <w:bCs/>
      <w:sz w:val="24"/>
      <w:szCs w:val="24"/>
      <w:lang w:eastAsia="lv-LV"/>
    </w:rPr>
  </w:style>
  <w:style w:type="paragraph" w:styleId="ListParagraph">
    <w:name w:val="List Paragraph"/>
    <w:basedOn w:val="Normal"/>
    <w:uiPriority w:val="34"/>
    <w:qFormat/>
    <w:rsid w:val="009717F4"/>
    <w:pPr>
      <w:spacing w:after="200" w:line="276" w:lineRule="auto"/>
      <w:ind w:left="720"/>
      <w:contextualSpacing/>
    </w:pPr>
  </w:style>
  <w:style w:type="paragraph" w:styleId="PlainText">
    <w:name w:val="Plain Text"/>
    <w:basedOn w:val="Normal"/>
    <w:link w:val="PlainTextChar"/>
    <w:uiPriority w:val="99"/>
    <w:unhideWhenUsed/>
    <w:rsid w:val="009717F4"/>
    <w:pPr>
      <w:spacing w:after="0" w:line="240" w:lineRule="auto"/>
    </w:pPr>
    <w:rPr>
      <w:rFonts w:ascii="Times New Roman" w:hAnsi="Times New Roman" w:cs="Times New Roman"/>
      <w:sz w:val="24"/>
      <w:szCs w:val="24"/>
      <w:lang w:eastAsia="lv-LV"/>
    </w:rPr>
  </w:style>
  <w:style w:type="character" w:customStyle="1" w:styleId="PlainTextChar">
    <w:name w:val="Plain Text Char"/>
    <w:basedOn w:val="DefaultParagraphFont"/>
    <w:link w:val="PlainText"/>
    <w:uiPriority w:val="99"/>
    <w:rsid w:val="009717F4"/>
    <w:rPr>
      <w:rFonts w:ascii="Times New Roman" w:hAnsi="Times New Roman" w:cs="Times New Roman"/>
      <w:sz w:val="24"/>
      <w:szCs w:val="24"/>
      <w:lang w:eastAsia="lv-LV"/>
    </w:rPr>
  </w:style>
  <w:style w:type="paragraph" w:customStyle="1" w:styleId="tv213">
    <w:name w:val="tv213"/>
    <w:basedOn w:val="Normal"/>
    <w:rsid w:val="009717F4"/>
    <w:pPr>
      <w:spacing w:before="100" w:beforeAutospacing="1" w:after="100" w:afterAutospacing="1" w:line="240" w:lineRule="auto"/>
    </w:pPr>
    <w:rPr>
      <w:rFonts w:ascii="Times New Roman" w:hAnsi="Times New Roman" w:cs="Times New Roman"/>
      <w:sz w:val="24"/>
      <w:szCs w:val="24"/>
      <w:lang w:eastAsia="lv-LV"/>
    </w:rPr>
  </w:style>
  <w:style w:type="paragraph" w:styleId="Header">
    <w:name w:val="header"/>
    <w:basedOn w:val="Normal"/>
    <w:link w:val="HeaderChar"/>
    <w:uiPriority w:val="99"/>
    <w:unhideWhenUsed/>
    <w:rsid w:val="009717F4"/>
    <w:pPr>
      <w:tabs>
        <w:tab w:val="center" w:pos="4153"/>
        <w:tab w:val="right" w:pos="8306"/>
      </w:tabs>
      <w:spacing w:after="0" w:line="240" w:lineRule="auto"/>
    </w:pPr>
  </w:style>
  <w:style w:type="character" w:customStyle="1" w:styleId="HeaderChar">
    <w:name w:val="Header Char"/>
    <w:basedOn w:val="DefaultParagraphFont"/>
    <w:link w:val="Header"/>
    <w:uiPriority w:val="99"/>
    <w:rsid w:val="009717F4"/>
  </w:style>
  <w:style w:type="paragraph" w:styleId="Footer">
    <w:name w:val="footer"/>
    <w:basedOn w:val="Normal"/>
    <w:link w:val="FooterChar"/>
    <w:uiPriority w:val="99"/>
    <w:unhideWhenUsed/>
    <w:rsid w:val="009717F4"/>
    <w:pPr>
      <w:tabs>
        <w:tab w:val="center" w:pos="4153"/>
        <w:tab w:val="right" w:pos="8306"/>
      </w:tabs>
      <w:spacing w:after="0" w:line="240" w:lineRule="auto"/>
    </w:pPr>
  </w:style>
  <w:style w:type="character" w:customStyle="1" w:styleId="FooterChar">
    <w:name w:val="Footer Char"/>
    <w:basedOn w:val="DefaultParagraphFont"/>
    <w:link w:val="Footer"/>
    <w:uiPriority w:val="99"/>
    <w:rsid w:val="009717F4"/>
  </w:style>
  <w:style w:type="paragraph" w:customStyle="1" w:styleId="naisc">
    <w:name w:val="naisc"/>
    <w:basedOn w:val="Normal"/>
    <w:rsid w:val="009717F4"/>
    <w:pPr>
      <w:spacing w:before="75" w:after="75" w:line="240" w:lineRule="auto"/>
      <w:jc w:val="center"/>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601265"/>
  </w:style>
  <w:style w:type="paragraph" w:styleId="NoSpacing">
    <w:name w:val="No Spacing"/>
    <w:uiPriority w:val="1"/>
    <w:qFormat/>
    <w:rsid w:val="001E770E"/>
    <w:pPr>
      <w:spacing w:after="0" w:line="240" w:lineRule="auto"/>
    </w:pPr>
  </w:style>
  <w:style w:type="paragraph" w:customStyle="1" w:styleId="Default">
    <w:name w:val="Default"/>
    <w:rsid w:val="00886F73"/>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paragraph" w:customStyle="1" w:styleId="CM1">
    <w:name w:val="CM1"/>
    <w:basedOn w:val="Default"/>
    <w:next w:val="Default"/>
    <w:uiPriority w:val="99"/>
    <w:rsid w:val="00A12D5E"/>
    <w:rPr>
      <w:rFonts w:ascii="EUAlbertina" w:eastAsiaTheme="minorHAnsi" w:hAnsi="EUAlbertina" w:cstheme="minorBidi"/>
      <w:color w:val="auto"/>
      <w:lang w:eastAsia="en-US"/>
    </w:rPr>
  </w:style>
  <w:style w:type="paragraph" w:customStyle="1" w:styleId="CM3">
    <w:name w:val="CM3"/>
    <w:basedOn w:val="Default"/>
    <w:next w:val="Default"/>
    <w:uiPriority w:val="99"/>
    <w:rsid w:val="00A12D5E"/>
    <w:rPr>
      <w:rFonts w:ascii="EUAlbertina" w:eastAsiaTheme="minorHAnsi" w:hAnsi="EUAlbertina" w:cstheme="minorBid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lma.valdmane@varam.gov.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varam.gov.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7322</Words>
  <Characters>4175</Characters>
  <Application>Microsoft Office Word</Application>
  <DocSecurity>0</DocSecurity>
  <Lines>34</Lines>
  <Paragraphs>22</Paragraphs>
  <ScaleCrop>false</ScaleCrop>
  <HeadingPairs>
    <vt:vector size="2" baseType="variant">
      <vt:variant>
        <vt:lpstr>Title</vt:lpstr>
      </vt:variant>
      <vt:variant>
        <vt:i4>1</vt:i4>
      </vt:variant>
    </vt:vector>
  </HeadingPairs>
  <TitlesOfParts>
    <vt:vector size="1" baseType="lpstr">
      <vt:lpstr/>
    </vt:vector>
  </TitlesOfParts>
  <Company>EM</Company>
  <LinksUpToDate>false</LinksUpToDate>
  <CharactersWithSpaces>11475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MKN 240-VAN grozījumi</dc:title>
  <dc:creator>Ilma.Valdmane@varam.gov.lv</dc:creator>
  <dc:description>anotācija</dc:description>
  <cp:lastModifiedBy>Ilma Valdmane</cp:lastModifiedBy>
  <cp:revision>3</cp:revision>
  <dcterms:created xsi:type="dcterms:W3CDTF">2016-01-25T14:04:00Z</dcterms:created>
  <dcterms:modified xsi:type="dcterms:W3CDTF">2016-01-25T14:05:00Z</dcterms:modified>
</cp:coreProperties>
</file>