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CF8" w:rsidRPr="0035082E" w:rsidRDefault="006B3CF8" w:rsidP="0043732C">
      <w:pPr>
        <w:spacing w:after="0" w:line="240" w:lineRule="auto"/>
        <w:jc w:val="both"/>
        <w:rPr>
          <w:i/>
        </w:rPr>
      </w:pPr>
      <w:r w:rsidRPr="0035082E">
        <w:rPr>
          <w:i/>
        </w:rPr>
        <w:t>PROJEKTS</w:t>
      </w:r>
    </w:p>
    <w:p w:rsidR="006B3CF8" w:rsidRDefault="006B3CF8" w:rsidP="00222204">
      <w:pPr>
        <w:spacing w:after="0" w:line="240" w:lineRule="auto"/>
        <w:jc w:val="both"/>
        <w:rPr>
          <w:szCs w:val="28"/>
        </w:rPr>
      </w:pPr>
    </w:p>
    <w:p w:rsidR="006B3CF8" w:rsidRDefault="006B3CF8" w:rsidP="0043732C">
      <w:pPr>
        <w:spacing w:after="0" w:line="240" w:lineRule="auto"/>
        <w:jc w:val="both"/>
        <w:rPr>
          <w:szCs w:val="28"/>
        </w:rPr>
      </w:pPr>
      <w:proofErr w:type="gramStart"/>
      <w:r>
        <w:rPr>
          <w:szCs w:val="28"/>
        </w:rPr>
        <w:t>LATVIJAS REPUBLIKAS MINISTRU KABINETS</w:t>
      </w:r>
      <w:proofErr w:type="gramEnd"/>
    </w:p>
    <w:p w:rsidR="006B3CF8" w:rsidRDefault="006B3CF8" w:rsidP="00222204">
      <w:pPr>
        <w:spacing w:after="0" w:line="240" w:lineRule="auto"/>
        <w:jc w:val="both"/>
        <w:rPr>
          <w:szCs w:val="28"/>
        </w:rPr>
      </w:pPr>
    </w:p>
    <w:p w:rsidR="006B3CF8" w:rsidRDefault="006B3CF8">
      <w:pPr>
        <w:spacing w:after="0" w:line="240" w:lineRule="auto"/>
        <w:jc w:val="both"/>
        <w:rPr>
          <w:szCs w:val="28"/>
        </w:rPr>
      </w:pPr>
      <w:r>
        <w:rPr>
          <w:szCs w:val="28"/>
        </w:rPr>
        <w:t>2019. gada______</w:t>
      </w:r>
      <w:r w:rsidRPr="00016E77">
        <w:rPr>
          <w:szCs w:val="28"/>
        </w:rPr>
        <w:tab/>
      </w:r>
      <w:r w:rsidRPr="00016E77">
        <w:rPr>
          <w:szCs w:val="28"/>
        </w:rPr>
        <w:tab/>
      </w:r>
      <w:r w:rsidRPr="00016E77">
        <w:rPr>
          <w:szCs w:val="28"/>
        </w:rPr>
        <w:tab/>
      </w:r>
      <w:r w:rsidRPr="00016E77">
        <w:rPr>
          <w:szCs w:val="28"/>
        </w:rPr>
        <w:tab/>
      </w:r>
      <w:r>
        <w:rPr>
          <w:szCs w:val="28"/>
        </w:rPr>
        <w:tab/>
      </w:r>
      <w:r>
        <w:rPr>
          <w:szCs w:val="28"/>
        </w:rPr>
        <w:tab/>
      </w:r>
      <w:r>
        <w:rPr>
          <w:szCs w:val="28"/>
        </w:rPr>
        <w:tab/>
      </w:r>
      <w:r w:rsidRPr="00016E77">
        <w:rPr>
          <w:szCs w:val="28"/>
        </w:rPr>
        <w:t>Noteikumi Nr</w:t>
      </w:r>
      <w:r>
        <w:rPr>
          <w:szCs w:val="28"/>
        </w:rPr>
        <w:t>.</w:t>
      </w:r>
    </w:p>
    <w:p w:rsidR="006B3CF8" w:rsidRPr="00016E77" w:rsidRDefault="006B3CF8">
      <w:pPr>
        <w:spacing w:after="0" w:line="240" w:lineRule="auto"/>
        <w:jc w:val="both"/>
        <w:rPr>
          <w:szCs w:val="28"/>
        </w:rPr>
      </w:pPr>
      <w:r w:rsidRPr="00016E77">
        <w:rPr>
          <w:szCs w:val="28"/>
        </w:rPr>
        <w:t>Rīgā</w:t>
      </w:r>
      <w:r w:rsidRPr="00016E77">
        <w:rPr>
          <w:szCs w:val="28"/>
        </w:rPr>
        <w:tab/>
      </w:r>
      <w:r w:rsidRPr="00016E77">
        <w:rPr>
          <w:szCs w:val="28"/>
        </w:rPr>
        <w:tab/>
      </w:r>
      <w:r w:rsidRPr="00016E77">
        <w:rPr>
          <w:szCs w:val="28"/>
        </w:rPr>
        <w:tab/>
      </w:r>
      <w:r w:rsidRPr="00016E77">
        <w:rPr>
          <w:szCs w:val="28"/>
        </w:rPr>
        <w:tab/>
      </w:r>
      <w:r w:rsidRPr="00016E77">
        <w:rPr>
          <w:szCs w:val="28"/>
        </w:rPr>
        <w:tab/>
      </w:r>
      <w:r w:rsidRPr="00016E77">
        <w:rPr>
          <w:szCs w:val="28"/>
        </w:rPr>
        <w:tab/>
      </w:r>
      <w:r w:rsidRPr="00016E77">
        <w:rPr>
          <w:szCs w:val="28"/>
        </w:rPr>
        <w:tab/>
      </w:r>
      <w:r>
        <w:rPr>
          <w:szCs w:val="28"/>
        </w:rPr>
        <w:tab/>
      </w:r>
      <w:r>
        <w:rPr>
          <w:szCs w:val="28"/>
        </w:rPr>
        <w:tab/>
      </w:r>
      <w:r w:rsidRPr="00016E77">
        <w:rPr>
          <w:szCs w:val="28"/>
        </w:rPr>
        <w:t>(prot. Nr.</w:t>
      </w:r>
      <w:proofErr w:type="gramStart"/>
      <w:r>
        <w:rPr>
          <w:szCs w:val="28"/>
        </w:rPr>
        <w:t xml:space="preserve">      </w:t>
      </w:r>
      <w:r w:rsidRPr="00016E77">
        <w:rPr>
          <w:szCs w:val="28"/>
        </w:rPr>
        <w:t xml:space="preserve"> </w:t>
      </w:r>
      <w:proofErr w:type="gramEnd"/>
      <w:r w:rsidRPr="00016E77">
        <w:rPr>
          <w:szCs w:val="28"/>
        </w:rPr>
        <w:t>§)</w:t>
      </w:r>
    </w:p>
    <w:p w:rsidR="006B3CF8" w:rsidRDefault="006B3CF8" w:rsidP="0043732C">
      <w:pPr>
        <w:spacing w:after="0" w:line="240" w:lineRule="auto"/>
        <w:jc w:val="both"/>
      </w:pPr>
    </w:p>
    <w:p w:rsidR="006B3CF8" w:rsidRPr="00E92D8E" w:rsidRDefault="006B3CF8" w:rsidP="0043732C">
      <w:pPr>
        <w:pStyle w:val="ListParagraph"/>
        <w:spacing w:after="0"/>
        <w:ind w:left="0" w:firstLine="720"/>
        <w:jc w:val="both"/>
        <w:rPr>
          <w:rFonts w:cs="Times New Roman"/>
          <w:bCs/>
          <w:i/>
          <w:szCs w:val="28"/>
        </w:rPr>
      </w:pPr>
    </w:p>
    <w:p w:rsidR="006B3CF8" w:rsidRPr="00E92D8E" w:rsidRDefault="006B3CF8" w:rsidP="0043732C">
      <w:pPr>
        <w:pStyle w:val="ListParagraph"/>
        <w:spacing w:after="0" w:line="240" w:lineRule="auto"/>
        <w:ind w:left="0" w:firstLine="720"/>
        <w:jc w:val="both"/>
        <w:rPr>
          <w:rFonts w:cs="Times New Roman"/>
          <w:b/>
          <w:bCs/>
          <w:szCs w:val="28"/>
        </w:rPr>
      </w:pPr>
      <w:r w:rsidRPr="00E92D8E">
        <w:rPr>
          <w:rFonts w:cs="Times New Roman"/>
          <w:b/>
          <w:bCs/>
          <w:szCs w:val="28"/>
        </w:rPr>
        <w:t>Grozījumi Ministru kabineta 2009.</w:t>
      </w:r>
      <w:r>
        <w:rPr>
          <w:rFonts w:cs="Times New Roman"/>
          <w:b/>
          <w:bCs/>
          <w:szCs w:val="28"/>
        </w:rPr>
        <w:t> </w:t>
      </w:r>
      <w:r w:rsidRPr="00E92D8E">
        <w:rPr>
          <w:rFonts w:cs="Times New Roman"/>
          <w:b/>
          <w:bCs/>
          <w:szCs w:val="28"/>
        </w:rPr>
        <w:t>gada 6.</w:t>
      </w:r>
      <w:r>
        <w:rPr>
          <w:rFonts w:cs="Times New Roman"/>
          <w:b/>
          <w:bCs/>
          <w:szCs w:val="28"/>
        </w:rPr>
        <w:t> </w:t>
      </w:r>
      <w:r w:rsidRPr="00E92D8E">
        <w:rPr>
          <w:rFonts w:cs="Times New Roman"/>
          <w:b/>
          <w:bCs/>
          <w:szCs w:val="28"/>
        </w:rPr>
        <w:t>oktobra noteikumos Nr.</w:t>
      </w:r>
      <w:r>
        <w:rPr>
          <w:rFonts w:cs="Times New Roman"/>
          <w:b/>
          <w:bCs/>
          <w:szCs w:val="28"/>
        </w:rPr>
        <w:t> </w:t>
      </w:r>
      <w:r w:rsidRPr="00E92D8E">
        <w:rPr>
          <w:rFonts w:cs="Times New Roman"/>
          <w:b/>
          <w:bCs/>
          <w:szCs w:val="28"/>
        </w:rPr>
        <w:t xml:space="preserve">1151 </w:t>
      </w:r>
      <w:r>
        <w:rPr>
          <w:rFonts w:cs="Times New Roman"/>
          <w:b/>
          <w:bCs/>
          <w:szCs w:val="28"/>
        </w:rPr>
        <w:t>„</w:t>
      </w:r>
      <w:r w:rsidRPr="00E92D8E">
        <w:rPr>
          <w:rFonts w:cs="Times New Roman"/>
          <w:b/>
          <w:bCs/>
          <w:szCs w:val="28"/>
        </w:rPr>
        <w:t>Noteikumi par radiofrekvenču spektra joslu sadalījumu radiosakaru veidiem un iedalījumu radiosakaru sistēmām, kā arī par radiofrekvenču spektra joslu izmantošanas vispārīgajiem nosacījumiem (Nacionālais radiofrekvenču plāns)</w:t>
      </w:r>
      <w:r>
        <w:rPr>
          <w:rFonts w:cs="Times New Roman"/>
          <w:b/>
          <w:bCs/>
          <w:szCs w:val="28"/>
        </w:rPr>
        <w:t>”</w:t>
      </w:r>
    </w:p>
    <w:p w:rsidR="006B3CF8" w:rsidRPr="00E92D8E" w:rsidRDefault="006B3CF8" w:rsidP="0043732C">
      <w:pPr>
        <w:pStyle w:val="ListParagraph"/>
        <w:spacing w:after="0" w:line="240" w:lineRule="auto"/>
        <w:ind w:left="0" w:firstLine="720"/>
        <w:jc w:val="both"/>
        <w:rPr>
          <w:rFonts w:cs="Times New Roman"/>
          <w:szCs w:val="28"/>
        </w:rPr>
      </w:pPr>
    </w:p>
    <w:p w:rsidR="006B3CF8" w:rsidRDefault="006B3CF8" w:rsidP="0043732C">
      <w:pPr>
        <w:tabs>
          <w:tab w:val="num" w:pos="1080"/>
        </w:tabs>
        <w:spacing w:after="0" w:line="240" w:lineRule="auto"/>
        <w:ind w:left="4253" w:right="4"/>
        <w:jc w:val="both"/>
        <w:rPr>
          <w:szCs w:val="28"/>
        </w:rPr>
      </w:pPr>
      <w:r>
        <w:rPr>
          <w:szCs w:val="28"/>
        </w:rPr>
        <w:t>I</w:t>
      </w:r>
      <w:r w:rsidRPr="00CA5B53">
        <w:rPr>
          <w:szCs w:val="28"/>
        </w:rPr>
        <w:t>zdoti saskaņā ar</w:t>
      </w:r>
      <w:r>
        <w:rPr>
          <w:szCs w:val="28"/>
        </w:rPr>
        <w:t xml:space="preserve"> </w:t>
      </w:r>
      <w:r w:rsidRPr="00CA5B53">
        <w:rPr>
          <w:szCs w:val="28"/>
        </w:rPr>
        <w:t xml:space="preserve">Elektronisko </w:t>
      </w:r>
    </w:p>
    <w:p w:rsidR="006B3CF8" w:rsidRDefault="006B3CF8" w:rsidP="0043732C">
      <w:pPr>
        <w:tabs>
          <w:tab w:val="num" w:pos="1080"/>
        </w:tabs>
        <w:spacing w:after="0" w:line="240" w:lineRule="auto"/>
        <w:ind w:left="4253" w:right="4"/>
        <w:jc w:val="both"/>
        <w:rPr>
          <w:szCs w:val="28"/>
        </w:rPr>
      </w:pPr>
      <w:r w:rsidRPr="00CA5B53">
        <w:rPr>
          <w:szCs w:val="28"/>
        </w:rPr>
        <w:t>sakaru likuma</w:t>
      </w:r>
      <w:r>
        <w:rPr>
          <w:szCs w:val="28"/>
        </w:rPr>
        <w:t xml:space="preserve"> 49</w:t>
      </w:r>
      <w:r w:rsidRPr="00CA5B53">
        <w:rPr>
          <w:szCs w:val="28"/>
        </w:rPr>
        <w:t>.</w:t>
      </w:r>
      <w:r>
        <w:rPr>
          <w:szCs w:val="28"/>
        </w:rPr>
        <w:t> </w:t>
      </w:r>
      <w:r w:rsidRPr="00CA5B53">
        <w:rPr>
          <w:szCs w:val="28"/>
        </w:rPr>
        <w:t>pant</w:t>
      </w:r>
      <w:r>
        <w:rPr>
          <w:szCs w:val="28"/>
        </w:rPr>
        <w:t>a pirmo daļu un 50. pantu</w:t>
      </w:r>
    </w:p>
    <w:p w:rsidR="006B3CF8" w:rsidRPr="00E92D8E" w:rsidRDefault="006B3CF8" w:rsidP="00222204">
      <w:pPr>
        <w:pStyle w:val="ListParagraph"/>
        <w:spacing w:after="0" w:line="240" w:lineRule="auto"/>
        <w:ind w:left="0" w:firstLine="720"/>
        <w:jc w:val="both"/>
        <w:rPr>
          <w:rFonts w:cs="Times New Roman"/>
          <w:szCs w:val="28"/>
        </w:rPr>
      </w:pPr>
    </w:p>
    <w:p w:rsidR="006B3CF8" w:rsidRPr="00D67953" w:rsidRDefault="006B3CF8">
      <w:pPr>
        <w:spacing w:after="0" w:line="240" w:lineRule="auto"/>
        <w:ind w:firstLine="720"/>
        <w:jc w:val="both"/>
        <w:rPr>
          <w:rFonts w:cs="Times New Roman"/>
          <w:szCs w:val="28"/>
        </w:rPr>
      </w:pPr>
      <w:r w:rsidRPr="00E92D8E">
        <w:rPr>
          <w:rFonts w:cs="Times New Roman"/>
          <w:szCs w:val="28"/>
        </w:rPr>
        <w:t>Izdarīt Ministru kabineta 2009.</w:t>
      </w:r>
      <w:r>
        <w:rPr>
          <w:rFonts w:cs="Times New Roman"/>
          <w:szCs w:val="28"/>
        </w:rPr>
        <w:t> </w:t>
      </w:r>
      <w:r w:rsidRPr="00E92D8E">
        <w:rPr>
          <w:rFonts w:cs="Times New Roman"/>
          <w:szCs w:val="28"/>
        </w:rPr>
        <w:t>gada 6.</w:t>
      </w:r>
      <w:r>
        <w:rPr>
          <w:rFonts w:cs="Times New Roman"/>
          <w:szCs w:val="28"/>
        </w:rPr>
        <w:t> </w:t>
      </w:r>
      <w:r w:rsidRPr="00E92D8E">
        <w:rPr>
          <w:rFonts w:cs="Times New Roman"/>
          <w:szCs w:val="28"/>
        </w:rPr>
        <w:t>oktobra noteikumos Nr.</w:t>
      </w:r>
      <w:r>
        <w:rPr>
          <w:rFonts w:cs="Times New Roman"/>
          <w:szCs w:val="28"/>
        </w:rPr>
        <w:t> </w:t>
      </w:r>
      <w:r w:rsidRPr="00E92D8E">
        <w:rPr>
          <w:rFonts w:cs="Times New Roman"/>
          <w:szCs w:val="28"/>
        </w:rPr>
        <w:t xml:space="preserve">1151 </w:t>
      </w:r>
      <w:r>
        <w:rPr>
          <w:rFonts w:cs="Times New Roman"/>
          <w:szCs w:val="28"/>
        </w:rPr>
        <w:t>„</w:t>
      </w:r>
      <w:r w:rsidRPr="00E92D8E">
        <w:rPr>
          <w:rFonts w:cs="Times New Roman"/>
          <w:szCs w:val="28"/>
        </w:rPr>
        <w:t>Noteikumi par radiofrekvenču spektra joslu sadalījumu radiosakaru veidiem un iedalījumu radiosakaru sistēmām, kā arī par radiofrekvenču spektra joslu izmantošanas vispārīgajiem nosacījumiem (Nacionālais radiofrekvenču plāns)</w:t>
      </w:r>
      <w:r>
        <w:rPr>
          <w:rFonts w:cs="Times New Roman"/>
          <w:szCs w:val="28"/>
        </w:rPr>
        <w:t>”</w:t>
      </w:r>
      <w:r w:rsidRPr="00E92D8E">
        <w:rPr>
          <w:rFonts w:cs="Times New Roman"/>
          <w:szCs w:val="28"/>
        </w:rPr>
        <w:t xml:space="preserve"> </w:t>
      </w:r>
      <w:proofErr w:type="gramStart"/>
      <w:r w:rsidRPr="00E92D8E">
        <w:rPr>
          <w:rFonts w:cs="Times New Roman"/>
          <w:szCs w:val="28"/>
        </w:rPr>
        <w:t>(</w:t>
      </w:r>
      <w:proofErr w:type="gramEnd"/>
      <w:r w:rsidRPr="00D67953">
        <w:rPr>
          <w:rFonts w:cs="Times New Roman"/>
          <w:szCs w:val="28"/>
        </w:rPr>
        <w:t>Latvijas Vēstnesis, 2009, 161. nr.; 2010, 73., 131. nr.; 2011, 86. nr.; 2012, 118., 194</w:t>
      </w:r>
      <w:r w:rsidR="002D1AA9">
        <w:rPr>
          <w:rFonts w:cs="Times New Roman"/>
          <w:szCs w:val="28"/>
        </w:rPr>
        <w:t>.</w:t>
      </w:r>
      <w:r w:rsidRPr="00D67953">
        <w:rPr>
          <w:rFonts w:cs="Times New Roman"/>
          <w:szCs w:val="28"/>
        </w:rPr>
        <w:t> nr.; 2013, 31. nr.; 2014, 160. nr.; 2015, 108. nr.; 2016, 204.</w:t>
      </w:r>
      <w:r w:rsidR="002D1AA9">
        <w:rPr>
          <w:rFonts w:cs="Times New Roman"/>
          <w:szCs w:val="28"/>
        </w:rPr>
        <w:t> </w:t>
      </w:r>
      <w:r w:rsidRPr="00D67953">
        <w:rPr>
          <w:rFonts w:cs="Times New Roman"/>
          <w:szCs w:val="28"/>
        </w:rPr>
        <w:t>nr.</w:t>
      </w:r>
      <w:r>
        <w:rPr>
          <w:rFonts w:cs="Times New Roman"/>
          <w:szCs w:val="28"/>
        </w:rPr>
        <w:t>; 2018, 119.</w:t>
      </w:r>
      <w:r w:rsidR="002D1AA9">
        <w:rPr>
          <w:rFonts w:cs="Times New Roman"/>
          <w:szCs w:val="28"/>
        </w:rPr>
        <w:t>,</w:t>
      </w:r>
      <w:r>
        <w:rPr>
          <w:rFonts w:cs="Times New Roman"/>
          <w:szCs w:val="28"/>
        </w:rPr>
        <w:t xml:space="preserve"> 251.</w:t>
      </w:r>
      <w:r w:rsidR="002D1AA9">
        <w:rPr>
          <w:rFonts w:cs="Times New Roman"/>
          <w:szCs w:val="28"/>
        </w:rPr>
        <w:t> </w:t>
      </w:r>
      <w:r>
        <w:rPr>
          <w:rFonts w:cs="Times New Roman"/>
          <w:szCs w:val="28"/>
        </w:rPr>
        <w:t>nr.;</w:t>
      </w:r>
      <w:r w:rsidRPr="00D67953">
        <w:rPr>
          <w:rFonts w:cs="Times New Roman"/>
          <w:szCs w:val="28"/>
        </w:rPr>
        <w:t>) šādus grozījumus:</w:t>
      </w:r>
    </w:p>
    <w:p w:rsidR="00B0318F" w:rsidRDefault="00B0318F">
      <w:pPr>
        <w:spacing w:after="120" w:line="240" w:lineRule="auto"/>
        <w:jc w:val="both"/>
        <w:rPr>
          <w:rFonts w:ascii="Franklin Gothic Book" w:hAnsi="Franklin Gothic Book" w:cs="Arial"/>
          <w:color w:val="FF0000"/>
          <w:sz w:val="20"/>
          <w:szCs w:val="20"/>
        </w:rPr>
      </w:pPr>
    </w:p>
    <w:p w:rsidR="00B0318F" w:rsidRPr="007C04F6" w:rsidRDefault="00B0318F">
      <w:pPr>
        <w:pStyle w:val="ListParagraph"/>
        <w:numPr>
          <w:ilvl w:val="0"/>
          <w:numId w:val="2"/>
        </w:numPr>
        <w:spacing w:after="0" w:line="240" w:lineRule="auto"/>
        <w:jc w:val="both"/>
        <w:rPr>
          <w:rFonts w:cs="Times New Roman"/>
          <w:bCs/>
          <w:szCs w:val="28"/>
        </w:rPr>
      </w:pPr>
      <w:r w:rsidRPr="007C04F6">
        <w:rPr>
          <w:rFonts w:cs="Times New Roman"/>
          <w:bCs/>
          <w:szCs w:val="28"/>
        </w:rPr>
        <w:t>Papildināt noteikumus ar 3.1.</w:t>
      </w:r>
      <w:r w:rsidRPr="007C04F6">
        <w:rPr>
          <w:rFonts w:cs="Times New Roman"/>
          <w:bCs/>
          <w:szCs w:val="28"/>
          <w:vertAlign w:val="superscript"/>
        </w:rPr>
        <w:t>1</w:t>
      </w:r>
      <w:r w:rsidRPr="007C04F6">
        <w:rPr>
          <w:rFonts w:cs="Times New Roman"/>
          <w:bCs/>
          <w:szCs w:val="28"/>
        </w:rPr>
        <w:t xml:space="preserve"> apakšpunktu šādā redakcijā: </w:t>
      </w:r>
    </w:p>
    <w:p w:rsidR="00B0318F" w:rsidRPr="00B0318F" w:rsidRDefault="00B0318F">
      <w:pPr>
        <w:spacing w:after="0" w:line="240" w:lineRule="auto"/>
        <w:jc w:val="both"/>
        <w:rPr>
          <w:rFonts w:cs="Times New Roman"/>
          <w:szCs w:val="28"/>
        </w:rPr>
      </w:pPr>
      <w:r w:rsidRPr="00B0318F">
        <w:rPr>
          <w:rFonts w:cs="Times New Roman"/>
          <w:szCs w:val="28"/>
        </w:rPr>
        <w:t>“3.1.</w:t>
      </w:r>
      <w:r w:rsidRPr="00B0318F">
        <w:rPr>
          <w:rFonts w:cs="Times New Roman"/>
          <w:szCs w:val="28"/>
          <w:vertAlign w:val="superscript"/>
        </w:rPr>
        <w:t>1</w:t>
      </w:r>
      <w:r w:rsidRPr="00B0318F">
        <w:rPr>
          <w:rFonts w:cs="Times New Roman"/>
          <w:szCs w:val="28"/>
        </w:rPr>
        <w:t xml:space="preserve"> </w:t>
      </w:r>
      <w:r w:rsidRPr="00607998">
        <w:rPr>
          <w:rFonts w:cs="Times New Roman"/>
          <w:b/>
          <w:szCs w:val="28"/>
        </w:rPr>
        <w:t>AAS</w:t>
      </w:r>
      <w:r w:rsidRPr="00B0318F">
        <w:rPr>
          <w:rFonts w:cs="Times New Roman"/>
          <w:szCs w:val="28"/>
        </w:rPr>
        <w:t xml:space="preserve"> (Active Antenna Systems) – aktīvās antenas sistēmas</w:t>
      </w:r>
      <w:r w:rsidR="005F0B4F">
        <w:rPr>
          <w:rFonts w:cs="Times New Roman"/>
          <w:szCs w:val="28"/>
        </w:rPr>
        <w:t>;</w:t>
      </w:r>
      <w:r w:rsidRPr="00B0318F">
        <w:rPr>
          <w:rFonts w:cs="Times New Roman"/>
          <w:szCs w:val="28"/>
        </w:rPr>
        <w:t>”</w:t>
      </w:r>
    </w:p>
    <w:p w:rsidR="006B3CF8" w:rsidRPr="00B0318F" w:rsidRDefault="006B3CF8">
      <w:pPr>
        <w:spacing w:after="0" w:line="240" w:lineRule="auto"/>
        <w:ind w:firstLine="720"/>
        <w:jc w:val="both"/>
        <w:rPr>
          <w:rFonts w:cs="Times New Roman"/>
          <w:szCs w:val="28"/>
        </w:rPr>
      </w:pPr>
    </w:p>
    <w:p w:rsidR="006B6EEA" w:rsidRPr="007C04F6" w:rsidRDefault="006B6EEA">
      <w:pPr>
        <w:pStyle w:val="ListParagraph"/>
        <w:numPr>
          <w:ilvl w:val="0"/>
          <w:numId w:val="2"/>
        </w:numPr>
        <w:spacing w:after="0" w:line="240" w:lineRule="auto"/>
        <w:jc w:val="both"/>
        <w:rPr>
          <w:rFonts w:cs="Times New Roman"/>
          <w:bCs/>
          <w:szCs w:val="28"/>
        </w:rPr>
      </w:pPr>
      <w:r w:rsidRPr="007C04F6">
        <w:rPr>
          <w:rFonts w:cs="Times New Roman"/>
          <w:bCs/>
          <w:szCs w:val="28"/>
        </w:rPr>
        <w:t>Papildināt noteikumus ar 3.3.</w:t>
      </w:r>
      <w:r w:rsidRPr="007C04F6">
        <w:rPr>
          <w:rFonts w:cs="Times New Roman"/>
          <w:bCs/>
          <w:szCs w:val="28"/>
          <w:vertAlign w:val="superscript"/>
        </w:rPr>
        <w:t>1</w:t>
      </w:r>
      <w:r w:rsidRPr="007C04F6">
        <w:rPr>
          <w:rFonts w:cs="Times New Roman"/>
          <w:bCs/>
          <w:szCs w:val="28"/>
        </w:rPr>
        <w:t xml:space="preserve"> apakšpunktu šādā redakcijā:</w:t>
      </w:r>
    </w:p>
    <w:p w:rsidR="006B6EEA" w:rsidRPr="00B0318F" w:rsidRDefault="006B6EEA">
      <w:pPr>
        <w:spacing w:after="0" w:line="240" w:lineRule="auto"/>
        <w:jc w:val="both"/>
        <w:rPr>
          <w:rFonts w:cs="Times New Roman"/>
          <w:bCs/>
          <w:szCs w:val="28"/>
        </w:rPr>
      </w:pPr>
      <w:r w:rsidRPr="00B0318F">
        <w:rPr>
          <w:rFonts w:cs="Times New Roman"/>
          <w:bCs/>
          <w:szCs w:val="28"/>
        </w:rPr>
        <w:t>“3.3.</w:t>
      </w:r>
      <w:r w:rsidRPr="00B0318F">
        <w:rPr>
          <w:rFonts w:cs="Times New Roman"/>
          <w:bCs/>
          <w:szCs w:val="28"/>
          <w:vertAlign w:val="superscript"/>
        </w:rPr>
        <w:t>1</w:t>
      </w:r>
      <w:r w:rsidRPr="00B0318F">
        <w:rPr>
          <w:rFonts w:cs="Times New Roman"/>
          <w:bCs/>
          <w:szCs w:val="28"/>
        </w:rPr>
        <w:t xml:space="preserve"> </w:t>
      </w:r>
      <w:r w:rsidRPr="00B0318F">
        <w:rPr>
          <w:rFonts w:cs="Times New Roman"/>
          <w:b/>
          <w:szCs w:val="28"/>
        </w:rPr>
        <w:t>AES</w:t>
      </w:r>
      <w:r w:rsidRPr="00B0318F">
        <w:rPr>
          <w:rFonts w:cs="Times New Roman"/>
          <w:szCs w:val="28"/>
        </w:rPr>
        <w:t xml:space="preserve"> </w:t>
      </w:r>
      <w:r w:rsidRPr="00B0318F">
        <w:rPr>
          <w:rFonts w:cs="Times New Roman"/>
          <w:i/>
          <w:szCs w:val="28"/>
        </w:rPr>
        <w:t>(Aircraft Earth Stations)</w:t>
      </w:r>
      <w:r w:rsidRPr="00B0318F">
        <w:rPr>
          <w:rFonts w:cs="Times New Roman"/>
          <w:szCs w:val="28"/>
        </w:rPr>
        <w:t xml:space="preserve"> – gaisa kuģu Zemes stacijas</w:t>
      </w:r>
      <w:r w:rsidR="005F0B4F">
        <w:rPr>
          <w:rFonts w:cs="Times New Roman"/>
          <w:szCs w:val="28"/>
        </w:rPr>
        <w:t>;</w:t>
      </w:r>
      <w:r w:rsidRPr="00B0318F">
        <w:rPr>
          <w:rFonts w:cs="Times New Roman"/>
          <w:szCs w:val="28"/>
        </w:rPr>
        <w:t>”</w:t>
      </w:r>
    </w:p>
    <w:p w:rsidR="006B6EEA" w:rsidRPr="00B0318F" w:rsidRDefault="006B6EEA">
      <w:pPr>
        <w:spacing w:after="0" w:line="240" w:lineRule="auto"/>
        <w:jc w:val="both"/>
        <w:rPr>
          <w:rFonts w:cs="Times New Roman"/>
          <w:bCs/>
          <w:szCs w:val="28"/>
        </w:rPr>
      </w:pPr>
    </w:p>
    <w:p w:rsidR="00B1177D" w:rsidRPr="007C04F6" w:rsidRDefault="00D53B17">
      <w:pPr>
        <w:pStyle w:val="ListParagraph"/>
        <w:numPr>
          <w:ilvl w:val="0"/>
          <w:numId w:val="2"/>
        </w:numPr>
        <w:spacing w:after="0" w:line="240" w:lineRule="auto"/>
        <w:jc w:val="both"/>
        <w:rPr>
          <w:rFonts w:eastAsia="Times New Roman" w:cs="Times New Roman"/>
          <w:szCs w:val="28"/>
          <w:lang w:eastAsia="lv-LV"/>
        </w:rPr>
      </w:pPr>
      <w:r>
        <w:rPr>
          <w:rFonts w:eastAsia="Times New Roman" w:cs="Times New Roman"/>
          <w:szCs w:val="28"/>
          <w:lang w:eastAsia="lv-LV"/>
        </w:rPr>
        <w:t xml:space="preserve">Papildinat </w:t>
      </w:r>
      <w:r w:rsidR="00B1177D" w:rsidRPr="007C04F6">
        <w:rPr>
          <w:rFonts w:eastAsia="Times New Roman" w:cs="Times New Roman"/>
          <w:szCs w:val="28"/>
          <w:lang w:eastAsia="lv-LV"/>
        </w:rPr>
        <w:t>noteikumu</w:t>
      </w:r>
      <w:r>
        <w:rPr>
          <w:rFonts w:eastAsia="Times New Roman" w:cs="Times New Roman"/>
          <w:szCs w:val="28"/>
          <w:lang w:eastAsia="lv-LV"/>
        </w:rPr>
        <w:t>s ar</w:t>
      </w:r>
      <w:r w:rsidR="00B1177D" w:rsidRPr="007C04F6">
        <w:rPr>
          <w:rFonts w:eastAsia="Times New Roman" w:cs="Times New Roman"/>
          <w:szCs w:val="28"/>
          <w:lang w:eastAsia="lv-LV"/>
        </w:rPr>
        <w:t xml:space="preserve"> 3.8.</w:t>
      </w:r>
      <w:r>
        <w:rPr>
          <w:rFonts w:eastAsia="Times New Roman" w:cs="Times New Roman"/>
          <w:szCs w:val="28"/>
          <w:vertAlign w:val="superscript"/>
          <w:lang w:eastAsia="lv-LV"/>
        </w:rPr>
        <w:t>2</w:t>
      </w:r>
      <w:r w:rsidR="00B1177D" w:rsidRPr="007C04F6">
        <w:rPr>
          <w:rFonts w:eastAsia="Times New Roman" w:cs="Times New Roman"/>
          <w:szCs w:val="28"/>
          <w:lang w:eastAsia="lv-LV"/>
        </w:rPr>
        <w:t xml:space="preserve"> </w:t>
      </w:r>
      <w:r w:rsidR="003C4C33" w:rsidRPr="007C04F6">
        <w:rPr>
          <w:rFonts w:eastAsia="Times New Roman" w:cs="Times New Roman"/>
          <w:szCs w:val="28"/>
          <w:lang w:eastAsia="lv-LV"/>
        </w:rPr>
        <w:t>apakš</w:t>
      </w:r>
      <w:r w:rsidR="00B1177D" w:rsidRPr="007C04F6">
        <w:rPr>
          <w:rFonts w:eastAsia="Times New Roman" w:cs="Times New Roman"/>
          <w:szCs w:val="28"/>
          <w:lang w:eastAsia="lv-LV"/>
        </w:rPr>
        <w:t>punktu šādā redakcijā:</w:t>
      </w:r>
    </w:p>
    <w:p w:rsidR="00B1177D" w:rsidRPr="00B0318F" w:rsidRDefault="00B1177D">
      <w:pPr>
        <w:spacing w:after="0" w:line="240" w:lineRule="auto"/>
        <w:jc w:val="both"/>
        <w:rPr>
          <w:rFonts w:cs="Times New Roman"/>
          <w:szCs w:val="28"/>
        </w:rPr>
      </w:pPr>
      <w:r w:rsidRPr="00B0318F">
        <w:rPr>
          <w:rFonts w:cs="Times New Roman"/>
          <w:szCs w:val="28"/>
        </w:rPr>
        <w:t>“3.8.</w:t>
      </w:r>
      <w:r w:rsidR="00D53B17">
        <w:rPr>
          <w:rFonts w:cs="Times New Roman"/>
          <w:szCs w:val="28"/>
          <w:vertAlign w:val="superscript"/>
        </w:rPr>
        <w:t>2</w:t>
      </w:r>
      <w:r w:rsidRPr="00B0318F">
        <w:rPr>
          <w:rFonts w:cs="Times New Roman"/>
          <w:b/>
          <w:szCs w:val="28"/>
        </w:rPr>
        <w:t xml:space="preserve"> BB-PPDR</w:t>
      </w:r>
      <w:r w:rsidRPr="00B0318F">
        <w:rPr>
          <w:rFonts w:cs="Times New Roman"/>
          <w:szCs w:val="28"/>
        </w:rPr>
        <w:t xml:space="preserve"> (</w:t>
      </w:r>
      <w:r w:rsidRPr="00B0318F">
        <w:rPr>
          <w:rFonts w:cs="Times New Roman"/>
          <w:i/>
          <w:szCs w:val="28"/>
        </w:rPr>
        <w:t>Broadband Public Protection and Disaster Relief</w:t>
      </w:r>
      <w:r w:rsidRPr="00B0318F">
        <w:rPr>
          <w:rFonts w:cs="Times New Roman"/>
          <w:szCs w:val="28"/>
        </w:rPr>
        <w:t>) - platjoslas sabiedrības drošības un katastrofu seku novēršanas sistēmas;</w:t>
      </w:r>
      <w:r w:rsidR="005F0B4F">
        <w:rPr>
          <w:rFonts w:cs="Times New Roman"/>
          <w:szCs w:val="28"/>
        </w:rPr>
        <w:t>”</w:t>
      </w:r>
    </w:p>
    <w:p w:rsidR="003C4C33" w:rsidRDefault="003C4C33">
      <w:pPr>
        <w:spacing w:after="0" w:line="240" w:lineRule="auto"/>
        <w:jc w:val="both"/>
        <w:rPr>
          <w:rFonts w:eastAsia="Times New Roman" w:cs="Times New Roman"/>
          <w:szCs w:val="28"/>
          <w:lang w:eastAsia="lv-LV"/>
        </w:rPr>
      </w:pPr>
    </w:p>
    <w:p w:rsidR="005F0B4F" w:rsidRPr="007C04F6" w:rsidRDefault="004B221A">
      <w:pPr>
        <w:pStyle w:val="ListParagraph"/>
        <w:numPr>
          <w:ilvl w:val="0"/>
          <w:numId w:val="2"/>
        </w:numPr>
        <w:spacing w:after="0" w:line="240" w:lineRule="auto"/>
        <w:jc w:val="both"/>
        <w:rPr>
          <w:rFonts w:eastAsia="Times New Roman" w:cs="Times New Roman"/>
          <w:szCs w:val="28"/>
          <w:lang w:eastAsia="lv-LV"/>
        </w:rPr>
      </w:pPr>
      <w:r w:rsidRPr="007C04F6">
        <w:rPr>
          <w:rFonts w:cs="Times New Roman"/>
          <w:szCs w:val="28"/>
        </w:rPr>
        <w:t xml:space="preserve">Papildināt noteikumus ar </w:t>
      </w:r>
      <w:r w:rsidR="005F0B4F" w:rsidRPr="007C04F6">
        <w:rPr>
          <w:rFonts w:cs="Times New Roman"/>
          <w:szCs w:val="28"/>
        </w:rPr>
        <w:t>3.51.</w:t>
      </w:r>
      <w:r>
        <w:rPr>
          <w:rFonts w:cs="Times New Roman"/>
          <w:szCs w:val="28"/>
          <w:vertAlign w:val="superscript"/>
        </w:rPr>
        <w:t>2</w:t>
      </w:r>
      <w:r w:rsidR="005F0B4F" w:rsidRPr="007C04F6">
        <w:rPr>
          <w:rFonts w:cs="Times New Roman"/>
          <w:szCs w:val="28"/>
          <w:vertAlign w:val="superscript"/>
        </w:rPr>
        <w:t xml:space="preserve"> </w:t>
      </w:r>
      <w:r w:rsidR="005F0B4F" w:rsidRPr="007C04F6">
        <w:rPr>
          <w:rFonts w:cs="Times New Roman"/>
          <w:szCs w:val="28"/>
        </w:rPr>
        <w:t xml:space="preserve">apakšpunktu </w:t>
      </w:r>
      <w:r w:rsidR="005F0B4F" w:rsidRPr="007C04F6">
        <w:rPr>
          <w:rFonts w:eastAsia="Times New Roman" w:cs="Times New Roman"/>
          <w:szCs w:val="28"/>
          <w:lang w:eastAsia="lv-LV"/>
        </w:rPr>
        <w:t>šādā redakcijā:</w:t>
      </w:r>
    </w:p>
    <w:p w:rsidR="00607998" w:rsidRDefault="005F0B4F">
      <w:pPr>
        <w:spacing w:after="120" w:line="240" w:lineRule="auto"/>
        <w:jc w:val="both"/>
        <w:rPr>
          <w:rFonts w:cs="Times New Roman"/>
          <w:szCs w:val="28"/>
        </w:rPr>
      </w:pPr>
      <w:r>
        <w:rPr>
          <w:rFonts w:cs="Times New Roman"/>
          <w:szCs w:val="28"/>
        </w:rPr>
        <w:t>“</w:t>
      </w:r>
      <w:r w:rsidR="00607998" w:rsidRPr="00607998">
        <w:rPr>
          <w:rFonts w:cs="Times New Roman"/>
          <w:szCs w:val="28"/>
        </w:rPr>
        <w:t>3.51.</w:t>
      </w:r>
      <w:r w:rsidR="004B221A">
        <w:rPr>
          <w:rFonts w:cs="Times New Roman"/>
          <w:szCs w:val="28"/>
          <w:vertAlign w:val="superscript"/>
        </w:rPr>
        <w:t>2</w:t>
      </w:r>
      <w:r w:rsidR="00607998" w:rsidRPr="00607998">
        <w:rPr>
          <w:rFonts w:cs="Times New Roman"/>
          <w:szCs w:val="28"/>
        </w:rPr>
        <w:t xml:space="preserve"> </w:t>
      </w:r>
      <w:r w:rsidR="00607998" w:rsidRPr="00607998">
        <w:rPr>
          <w:rFonts w:cs="Times New Roman"/>
          <w:b/>
          <w:szCs w:val="28"/>
        </w:rPr>
        <w:t>FS</w:t>
      </w:r>
      <w:r w:rsidR="00607998" w:rsidRPr="00607998">
        <w:rPr>
          <w:rFonts w:cs="Times New Roman"/>
          <w:szCs w:val="28"/>
        </w:rPr>
        <w:t xml:space="preserve"> </w:t>
      </w:r>
      <w:r w:rsidR="00607998" w:rsidRPr="00F85570">
        <w:rPr>
          <w:rFonts w:cs="Times New Roman"/>
          <w:i/>
          <w:szCs w:val="28"/>
        </w:rPr>
        <w:t>(Fixed Service)</w:t>
      </w:r>
      <w:r w:rsidR="00607998" w:rsidRPr="00607998">
        <w:rPr>
          <w:rFonts w:cs="Times New Roman"/>
          <w:szCs w:val="28"/>
        </w:rPr>
        <w:t xml:space="preserve"> –</w:t>
      </w:r>
      <w:r w:rsidR="00607998">
        <w:rPr>
          <w:rFonts w:cs="Times New Roman"/>
          <w:szCs w:val="28"/>
        </w:rPr>
        <w:t xml:space="preserve"> </w:t>
      </w:r>
      <w:r w:rsidR="00607998" w:rsidRPr="00607998">
        <w:rPr>
          <w:rFonts w:cs="Times New Roman"/>
          <w:szCs w:val="28"/>
        </w:rPr>
        <w:t>fiksētais dienests</w:t>
      </w:r>
      <w:r>
        <w:rPr>
          <w:rFonts w:cs="Times New Roman"/>
          <w:szCs w:val="28"/>
        </w:rPr>
        <w:t>;”</w:t>
      </w:r>
      <w:r w:rsidR="00607998">
        <w:rPr>
          <w:rFonts w:cs="Times New Roman"/>
          <w:szCs w:val="28"/>
        </w:rPr>
        <w:t xml:space="preserve"> </w:t>
      </w:r>
    </w:p>
    <w:p w:rsidR="008B3CC6" w:rsidRPr="007C04F6" w:rsidRDefault="008B3CC6">
      <w:pPr>
        <w:pStyle w:val="ListParagraph"/>
        <w:numPr>
          <w:ilvl w:val="0"/>
          <w:numId w:val="2"/>
        </w:numPr>
        <w:spacing w:after="0" w:line="240" w:lineRule="auto"/>
        <w:jc w:val="both"/>
        <w:rPr>
          <w:rFonts w:eastAsia="Times New Roman" w:cs="Times New Roman"/>
          <w:szCs w:val="28"/>
          <w:lang w:eastAsia="lv-LV"/>
        </w:rPr>
      </w:pPr>
      <w:r w:rsidRPr="007C04F6">
        <w:rPr>
          <w:rFonts w:cs="Times New Roman"/>
          <w:szCs w:val="28"/>
        </w:rPr>
        <w:t>Papildināt noteikumus ar 3.89.</w:t>
      </w:r>
      <w:r w:rsidRPr="007C04F6">
        <w:rPr>
          <w:rFonts w:cs="Times New Roman"/>
          <w:szCs w:val="28"/>
          <w:vertAlign w:val="superscript"/>
        </w:rPr>
        <w:t>2</w:t>
      </w:r>
      <w:r w:rsidRPr="007C04F6">
        <w:rPr>
          <w:rFonts w:cs="Times New Roman"/>
          <w:szCs w:val="28"/>
        </w:rPr>
        <w:t xml:space="preserve"> apakšpunktu </w:t>
      </w:r>
      <w:r w:rsidRPr="007C04F6">
        <w:rPr>
          <w:rFonts w:eastAsia="Times New Roman" w:cs="Times New Roman"/>
          <w:szCs w:val="28"/>
          <w:lang w:eastAsia="lv-LV"/>
        </w:rPr>
        <w:t>šādā redakcijā:</w:t>
      </w:r>
    </w:p>
    <w:p w:rsidR="00D21712" w:rsidRDefault="008B3CC6">
      <w:pPr>
        <w:spacing w:after="120" w:line="240" w:lineRule="auto"/>
        <w:jc w:val="both"/>
        <w:rPr>
          <w:rFonts w:cs="Times New Roman"/>
          <w:szCs w:val="28"/>
        </w:rPr>
      </w:pPr>
      <w:r>
        <w:rPr>
          <w:rFonts w:cs="Times New Roman"/>
          <w:szCs w:val="28"/>
        </w:rPr>
        <w:t>“</w:t>
      </w:r>
      <w:r w:rsidR="00D21712" w:rsidRPr="008B3CC6">
        <w:rPr>
          <w:rFonts w:cs="Times New Roman"/>
          <w:szCs w:val="28"/>
        </w:rPr>
        <w:t>3.89.</w:t>
      </w:r>
      <w:r w:rsidR="00D21712" w:rsidRPr="008B3CC6">
        <w:rPr>
          <w:rFonts w:cs="Times New Roman"/>
          <w:szCs w:val="28"/>
          <w:vertAlign w:val="superscript"/>
        </w:rPr>
        <w:t>2</w:t>
      </w:r>
      <w:r w:rsidR="00D21712" w:rsidRPr="008B3CC6">
        <w:rPr>
          <w:rFonts w:cs="Times New Roman"/>
          <w:szCs w:val="28"/>
        </w:rPr>
        <w:t xml:space="preserve"> </w:t>
      </w:r>
      <w:r w:rsidR="00D21712" w:rsidRPr="00227958">
        <w:rPr>
          <w:rFonts w:cs="Times New Roman"/>
          <w:b/>
          <w:szCs w:val="28"/>
        </w:rPr>
        <w:t>ne-AAS</w:t>
      </w:r>
      <w:r w:rsidR="00D21712" w:rsidRPr="008B3CC6">
        <w:rPr>
          <w:rFonts w:cs="Times New Roman"/>
          <w:szCs w:val="28"/>
        </w:rPr>
        <w:t xml:space="preserve"> </w:t>
      </w:r>
      <w:r w:rsidR="00D21712" w:rsidRPr="009159B8">
        <w:rPr>
          <w:rFonts w:cs="Times New Roman"/>
          <w:i/>
          <w:szCs w:val="28"/>
        </w:rPr>
        <w:t>(non-Active Antenna Systems)</w:t>
      </w:r>
      <w:r w:rsidR="00D21712" w:rsidRPr="008B3CC6">
        <w:rPr>
          <w:rFonts w:cs="Times New Roman"/>
          <w:szCs w:val="28"/>
        </w:rPr>
        <w:t xml:space="preserve"> </w:t>
      </w:r>
      <w:r w:rsidRPr="00607998">
        <w:rPr>
          <w:rFonts w:cs="Times New Roman"/>
          <w:szCs w:val="28"/>
        </w:rPr>
        <w:t>–</w:t>
      </w:r>
      <w:r>
        <w:rPr>
          <w:rFonts w:cs="Times New Roman"/>
          <w:szCs w:val="28"/>
        </w:rPr>
        <w:t xml:space="preserve"> </w:t>
      </w:r>
      <w:r w:rsidR="00D21712" w:rsidRPr="008B3CC6">
        <w:rPr>
          <w:rFonts w:cs="Times New Roman"/>
          <w:szCs w:val="28"/>
        </w:rPr>
        <w:t>ne-aktīvās antenas sistēmas</w:t>
      </w:r>
      <w:r>
        <w:rPr>
          <w:rFonts w:cs="Times New Roman"/>
          <w:szCs w:val="28"/>
        </w:rPr>
        <w:t>;”</w:t>
      </w:r>
    </w:p>
    <w:p w:rsidR="008B3CC6" w:rsidRDefault="008B3CC6">
      <w:pPr>
        <w:spacing w:after="0" w:line="240" w:lineRule="auto"/>
        <w:jc w:val="both"/>
        <w:rPr>
          <w:rFonts w:cs="Times New Roman"/>
          <w:szCs w:val="28"/>
        </w:rPr>
      </w:pPr>
    </w:p>
    <w:p w:rsidR="008B3CC6" w:rsidRPr="007C04F6" w:rsidRDefault="008B3CC6">
      <w:pPr>
        <w:pStyle w:val="ListParagraph"/>
        <w:numPr>
          <w:ilvl w:val="0"/>
          <w:numId w:val="2"/>
        </w:numPr>
        <w:spacing w:after="0" w:line="240" w:lineRule="auto"/>
        <w:jc w:val="both"/>
        <w:rPr>
          <w:rFonts w:eastAsia="Times New Roman" w:cs="Times New Roman"/>
          <w:szCs w:val="28"/>
          <w:lang w:eastAsia="lv-LV"/>
        </w:rPr>
      </w:pPr>
      <w:r w:rsidRPr="007C04F6">
        <w:rPr>
          <w:rFonts w:cs="Times New Roman"/>
          <w:szCs w:val="28"/>
        </w:rPr>
        <w:t>Papildināt noteikumus ar 3.128.</w:t>
      </w:r>
      <w:r w:rsidRPr="007C04F6">
        <w:rPr>
          <w:rFonts w:cs="Times New Roman"/>
          <w:szCs w:val="28"/>
          <w:vertAlign w:val="superscript"/>
        </w:rPr>
        <w:t>1</w:t>
      </w:r>
      <w:r w:rsidRPr="007C04F6">
        <w:rPr>
          <w:rFonts w:cs="Times New Roman"/>
          <w:szCs w:val="28"/>
        </w:rPr>
        <w:t xml:space="preserve"> apakšpunktu </w:t>
      </w:r>
      <w:r w:rsidRPr="007C04F6">
        <w:rPr>
          <w:rFonts w:eastAsia="Times New Roman" w:cs="Times New Roman"/>
          <w:szCs w:val="28"/>
          <w:lang w:eastAsia="lv-LV"/>
        </w:rPr>
        <w:t>šādā redakcijā:</w:t>
      </w:r>
    </w:p>
    <w:p w:rsidR="00D21712" w:rsidRPr="008B3CC6" w:rsidRDefault="008B3CC6">
      <w:pPr>
        <w:spacing w:after="120" w:line="240" w:lineRule="auto"/>
        <w:jc w:val="both"/>
        <w:rPr>
          <w:rFonts w:cs="Times New Roman"/>
          <w:szCs w:val="28"/>
        </w:rPr>
      </w:pPr>
      <w:r>
        <w:rPr>
          <w:rFonts w:cs="Times New Roman"/>
          <w:szCs w:val="28"/>
        </w:rPr>
        <w:t>“</w:t>
      </w:r>
      <w:r w:rsidR="00D21712" w:rsidRPr="008B3CC6">
        <w:rPr>
          <w:rFonts w:cs="Times New Roman"/>
          <w:szCs w:val="28"/>
        </w:rPr>
        <w:t>3.128</w:t>
      </w:r>
      <w:r w:rsidR="00D21712" w:rsidRPr="008B3CC6">
        <w:rPr>
          <w:rFonts w:cs="Times New Roman"/>
          <w:szCs w:val="28"/>
          <w:vertAlign w:val="superscript"/>
        </w:rPr>
        <w:t>1</w:t>
      </w:r>
      <w:r w:rsidR="00D21712" w:rsidRPr="008B3CC6">
        <w:rPr>
          <w:rFonts w:cs="Times New Roman"/>
          <w:szCs w:val="28"/>
        </w:rPr>
        <w:t xml:space="preserve">. </w:t>
      </w:r>
      <w:r w:rsidR="00D21712" w:rsidRPr="008B3CC6">
        <w:rPr>
          <w:rFonts w:cs="Times New Roman"/>
          <w:b/>
          <w:szCs w:val="28"/>
        </w:rPr>
        <w:t>TRP</w:t>
      </w:r>
      <w:r w:rsidR="00D21712" w:rsidRPr="008B3CC6">
        <w:rPr>
          <w:rFonts w:cs="Times New Roman"/>
          <w:szCs w:val="28"/>
        </w:rPr>
        <w:t xml:space="preserve"> </w:t>
      </w:r>
      <w:r w:rsidR="00D21712" w:rsidRPr="009159B8">
        <w:rPr>
          <w:rFonts w:cs="Times New Roman"/>
          <w:i/>
          <w:szCs w:val="28"/>
        </w:rPr>
        <w:t>(Total Radiated Power)</w:t>
      </w:r>
      <w:r w:rsidR="00D21712" w:rsidRPr="008B3CC6">
        <w:rPr>
          <w:rFonts w:cs="Times New Roman"/>
          <w:szCs w:val="28"/>
        </w:rPr>
        <w:t xml:space="preserve"> </w:t>
      </w:r>
      <w:r w:rsidRPr="00607998">
        <w:rPr>
          <w:rFonts w:cs="Times New Roman"/>
          <w:szCs w:val="28"/>
        </w:rPr>
        <w:t>–</w:t>
      </w:r>
      <w:r>
        <w:rPr>
          <w:rFonts w:cs="Times New Roman"/>
          <w:szCs w:val="28"/>
        </w:rPr>
        <w:t xml:space="preserve"> </w:t>
      </w:r>
      <w:r w:rsidR="00D21712" w:rsidRPr="008B3CC6">
        <w:rPr>
          <w:rFonts w:cs="Times New Roman"/>
          <w:szCs w:val="28"/>
        </w:rPr>
        <w:t>kopējā izstarotā jauda</w:t>
      </w:r>
      <w:r>
        <w:rPr>
          <w:rFonts w:cs="Times New Roman"/>
          <w:szCs w:val="28"/>
        </w:rPr>
        <w:t>;”</w:t>
      </w:r>
    </w:p>
    <w:p w:rsidR="009159B8" w:rsidRDefault="009159B8">
      <w:pPr>
        <w:spacing w:after="120" w:line="240" w:lineRule="auto"/>
        <w:jc w:val="both"/>
        <w:rPr>
          <w:rFonts w:cs="Times New Roman"/>
          <w:szCs w:val="28"/>
        </w:rPr>
      </w:pPr>
    </w:p>
    <w:p w:rsidR="009159B8" w:rsidRPr="007C04F6" w:rsidRDefault="004B221A">
      <w:pPr>
        <w:pStyle w:val="ListParagraph"/>
        <w:numPr>
          <w:ilvl w:val="0"/>
          <w:numId w:val="2"/>
        </w:numPr>
        <w:spacing w:after="120" w:line="240" w:lineRule="auto"/>
        <w:jc w:val="both"/>
        <w:rPr>
          <w:rFonts w:cs="Times New Roman"/>
          <w:szCs w:val="28"/>
        </w:rPr>
      </w:pPr>
      <w:r w:rsidRPr="007C04F6">
        <w:rPr>
          <w:rFonts w:cs="Times New Roman"/>
          <w:szCs w:val="28"/>
        </w:rPr>
        <w:t xml:space="preserve">Papildināt noteikumus ar </w:t>
      </w:r>
      <w:r w:rsidR="009159B8" w:rsidRPr="007C04F6">
        <w:rPr>
          <w:rFonts w:cs="Times New Roman"/>
          <w:szCs w:val="28"/>
        </w:rPr>
        <w:t>3.137.</w:t>
      </w:r>
      <w:r>
        <w:rPr>
          <w:rFonts w:cs="Times New Roman"/>
          <w:szCs w:val="28"/>
          <w:vertAlign w:val="superscript"/>
        </w:rPr>
        <w:t>2</w:t>
      </w:r>
      <w:r w:rsidR="009159B8" w:rsidRPr="007C04F6">
        <w:rPr>
          <w:rFonts w:cs="Times New Roman"/>
          <w:szCs w:val="28"/>
        </w:rPr>
        <w:t xml:space="preserve"> apakšpunktu </w:t>
      </w:r>
      <w:r w:rsidR="009159B8" w:rsidRPr="007C04F6">
        <w:rPr>
          <w:rFonts w:eastAsia="Times New Roman" w:cs="Times New Roman"/>
          <w:szCs w:val="28"/>
          <w:lang w:eastAsia="lv-LV"/>
        </w:rPr>
        <w:t>šādā redakcijā:</w:t>
      </w:r>
    </w:p>
    <w:p w:rsidR="00D21712" w:rsidRPr="008B3CC6" w:rsidRDefault="009159B8">
      <w:pPr>
        <w:spacing w:after="120" w:line="240" w:lineRule="auto"/>
        <w:jc w:val="both"/>
        <w:rPr>
          <w:rFonts w:cs="Times New Roman"/>
          <w:szCs w:val="28"/>
        </w:rPr>
      </w:pPr>
      <w:r>
        <w:rPr>
          <w:rFonts w:cs="Times New Roman"/>
          <w:szCs w:val="28"/>
        </w:rPr>
        <w:t>“</w:t>
      </w:r>
      <w:r w:rsidR="00D21712" w:rsidRPr="008B3CC6">
        <w:rPr>
          <w:rFonts w:cs="Times New Roman"/>
          <w:szCs w:val="28"/>
        </w:rPr>
        <w:t>3.137.</w:t>
      </w:r>
      <w:r w:rsidR="004B221A">
        <w:rPr>
          <w:rFonts w:cs="Times New Roman"/>
          <w:szCs w:val="28"/>
          <w:vertAlign w:val="superscript"/>
        </w:rPr>
        <w:t>2</w:t>
      </w:r>
      <w:r w:rsidR="00D21712" w:rsidRPr="008B3CC6">
        <w:rPr>
          <w:rFonts w:cs="Times New Roman"/>
          <w:szCs w:val="28"/>
        </w:rPr>
        <w:t xml:space="preserve"> </w:t>
      </w:r>
      <w:r w:rsidR="00D21712" w:rsidRPr="009159B8">
        <w:rPr>
          <w:rFonts w:cs="Times New Roman"/>
          <w:b/>
          <w:szCs w:val="28"/>
        </w:rPr>
        <w:t>WBB</w:t>
      </w:r>
      <w:r w:rsidR="00D21712" w:rsidRPr="008B3CC6">
        <w:rPr>
          <w:rFonts w:cs="Times New Roman"/>
          <w:szCs w:val="28"/>
        </w:rPr>
        <w:t xml:space="preserve"> </w:t>
      </w:r>
      <w:r w:rsidR="00D21712" w:rsidRPr="00F85570">
        <w:rPr>
          <w:rFonts w:cs="Times New Roman"/>
          <w:b/>
          <w:szCs w:val="28"/>
        </w:rPr>
        <w:t>ECS</w:t>
      </w:r>
      <w:r w:rsidR="00D21712" w:rsidRPr="008B3CC6">
        <w:rPr>
          <w:rFonts w:cs="Times New Roman"/>
          <w:szCs w:val="28"/>
        </w:rPr>
        <w:t xml:space="preserve"> </w:t>
      </w:r>
      <w:r w:rsidR="00227958" w:rsidRPr="00F85570">
        <w:rPr>
          <w:rFonts w:cs="Times New Roman"/>
          <w:i/>
          <w:szCs w:val="28"/>
        </w:rPr>
        <w:t>(Wireless Broadband</w:t>
      </w:r>
      <w:r w:rsidR="00227958">
        <w:rPr>
          <w:rFonts w:cs="Times New Roman"/>
          <w:i/>
          <w:szCs w:val="28"/>
        </w:rPr>
        <w:t xml:space="preserve"> </w:t>
      </w:r>
      <w:r w:rsidR="00D21712" w:rsidRPr="00F85570">
        <w:rPr>
          <w:rFonts w:cs="Times New Roman"/>
          <w:i/>
          <w:szCs w:val="28"/>
        </w:rPr>
        <w:t>Electronic Communications Services)</w:t>
      </w:r>
      <w:r w:rsidR="00D21712" w:rsidRPr="008B3CC6">
        <w:rPr>
          <w:rFonts w:cs="Times New Roman"/>
          <w:szCs w:val="28"/>
        </w:rPr>
        <w:t xml:space="preserve"> - bezvadu platjoslas elektronisko sakaru pakalpojumi</w:t>
      </w:r>
      <w:r>
        <w:rPr>
          <w:rFonts w:cs="Times New Roman"/>
          <w:szCs w:val="28"/>
        </w:rPr>
        <w:t>;”</w:t>
      </w:r>
    </w:p>
    <w:p w:rsidR="00F56776" w:rsidRDefault="00F56776">
      <w:pPr>
        <w:spacing w:after="120" w:line="240" w:lineRule="auto"/>
        <w:jc w:val="both"/>
        <w:rPr>
          <w:rFonts w:cs="Times New Roman"/>
          <w:szCs w:val="28"/>
        </w:rPr>
      </w:pPr>
    </w:p>
    <w:p w:rsidR="00257E6E" w:rsidRPr="007C04F6" w:rsidRDefault="000F75C7">
      <w:pPr>
        <w:pStyle w:val="ListParagraph"/>
        <w:numPr>
          <w:ilvl w:val="0"/>
          <w:numId w:val="2"/>
        </w:numPr>
        <w:spacing w:after="0" w:line="240" w:lineRule="auto"/>
        <w:jc w:val="both"/>
        <w:rPr>
          <w:rFonts w:cs="Times New Roman"/>
          <w:szCs w:val="28"/>
        </w:rPr>
      </w:pPr>
      <w:r w:rsidRPr="007C04F6">
        <w:rPr>
          <w:rFonts w:cs="Times New Roman"/>
          <w:szCs w:val="28"/>
        </w:rPr>
        <w:t>Papildināt not</w:t>
      </w:r>
      <w:r w:rsidR="00B550D2" w:rsidRPr="007C04F6">
        <w:rPr>
          <w:rFonts w:cs="Times New Roman"/>
          <w:szCs w:val="28"/>
        </w:rPr>
        <w:t>eikumu</w:t>
      </w:r>
      <w:r w:rsidR="00F060A1">
        <w:rPr>
          <w:rFonts w:cs="Times New Roman"/>
          <w:szCs w:val="28"/>
        </w:rPr>
        <w:t>s</w:t>
      </w:r>
      <w:r w:rsidR="00257E6E" w:rsidRPr="007C04F6">
        <w:rPr>
          <w:rFonts w:cs="Times New Roman"/>
          <w:szCs w:val="28"/>
        </w:rPr>
        <w:t xml:space="preserve"> ar </w:t>
      </w:r>
      <w:r w:rsidR="00B550D2" w:rsidRPr="007C04F6">
        <w:rPr>
          <w:rFonts w:cs="Times New Roman"/>
          <w:szCs w:val="28"/>
        </w:rPr>
        <w:t>51., 52., 53. un 54. punktu šādā redakcijā</w:t>
      </w:r>
      <w:r w:rsidR="00257E6E" w:rsidRPr="007C04F6">
        <w:rPr>
          <w:rFonts w:cs="Times New Roman"/>
          <w:szCs w:val="28"/>
        </w:rPr>
        <w:t>:</w:t>
      </w:r>
    </w:p>
    <w:p w:rsidR="00257E6E" w:rsidRPr="00F060A1" w:rsidRDefault="00257E6E" w:rsidP="0043732C">
      <w:pPr>
        <w:spacing w:after="0" w:line="240" w:lineRule="auto"/>
        <w:jc w:val="both"/>
        <w:rPr>
          <w:rFonts w:cs="Times New Roman"/>
          <w:szCs w:val="28"/>
        </w:rPr>
      </w:pPr>
    </w:p>
    <w:p w:rsidR="00257E6E" w:rsidRPr="00F060A1" w:rsidRDefault="00257E6E" w:rsidP="0043732C">
      <w:pPr>
        <w:spacing w:after="0" w:line="240" w:lineRule="auto"/>
        <w:ind w:firstLine="360"/>
        <w:jc w:val="both"/>
        <w:rPr>
          <w:rFonts w:cs="Times New Roman"/>
          <w:szCs w:val="28"/>
        </w:rPr>
      </w:pPr>
      <w:r w:rsidRPr="00F060A1">
        <w:rPr>
          <w:rFonts w:cs="Times New Roman"/>
          <w:szCs w:val="28"/>
        </w:rPr>
        <w:t>“</w:t>
      </w:r>
      <w:r w:rsidR="00905531" w:rsidRPr="00F060A1">
        <w:rPr>
          <w:rFonts w:cs="Times New Roman"/>
          <w:szCs w:val="28"/>
        </w:rPr>
        <w:t>51. Šo noteikumu 1. </w:t>
      </w:r>
      <w:r w:rsidRPr="00F060A1">
        <w:rPr>
          <w:rFonts w:cs="Times New Roman"/>
          <w:szCs w:val="28"/>
        </w:rPr>
        <w:t>pielikuma 240.</w:t>
      </w:r>
      <w:r w:rsidRPr="00F060A1">
        <w:rPr>
          <w:rFonts w:cs="Times New Roman"/>
          <w:szCs w:val="28"/>
          <w:vertAlign w:val="superscript"/>
        </w:rPr>
        <w:t>1</w:t>
      </w:r>
      <w:r w:rsidR="00905531" w:rsidRPr="00F060A1">
        <w:rPr>
          <w:rFonts w:cs="Times New Roman"/>
          <w:szCs w:val="28"/>
        </w:rPr>
        <w:t> </w:t>
      </w:r>
      <w:r w:rsidR="000F75C7" w:rsidRPr="00F060A1">
        <w:rPr>
          <w:rFonts w:cs="Times New Roman"/>
          <w:szCs w:val="28"/>
        </w:rPr>
        <w:t>punktā noteiktais 703–733 MHz, 758–788 MHz un 738–758 </w:t>
      </w:r>
      <w:r w:rsidRPr="00F060A1">
        <w:rPr>
          <w:rFonts w:cs="Times New Roman"/>
          <w:szCs w:val="28"/>
        </w:rPr>
        <w:t>MHz radiofrekvenču spektra joslas iedalījums zemes sistēmām, kas Savienībā spēj sniegt bezvadu platjoslas elektronisko sakaru pakalpo</w:t>
      </w:r>
      <w:r w:rsidR="00905531" w:rsidRPr="00F060A1">
        <w:rPr>
          <w:rFonts w:cs="Times New Roman"/>
          <w:szCs w:val="28"/>
        </w:rPr>
        <w:t>jumus/IMT stājas spēkā no 2022. gada 1. </w:t>
      </w:r>
      <w:r w:rsidRPr="00F060A1">
        <w:rPr>
          <w:rFonts w:cs="Times New Roman"/>
          <w:szCs w:val="28"/>
        </w:rPr>
        <w:t>janvāra.</w:t>
      </w:r>
    </w:p>
    <w:p w:rsidR="00257E6E" w:rsidRPr="00F060A1" w:rsidRDefault="00257E6E" w:rsidP="00222204">
      <w:pPr>
        <w:spacing w:after="0" w:line="240" w:lineRule="auto"/>
        <w:jc w:val="both"/>
        <w:rPr>
          <w:rFonts w:cs="Times New Roman"/>
          <w:szCs w:val="28"/>
        </w:rPr>
      </w:pPr>
    </w:p>
    <w:p w:rsidR="00257E6E" w:rsidRPr="00F060A1" w:rsidRDefault="00905531" w:rsidP="0043732C">
      <w:pPr>
        <w:spacing w:after="0" w:line="240" w:lineRule="auto"/>
        <w:ind w:firstLine="360"/>
        <w:jc w:val="both"/>
        <w:rPr>
          <w:rFonts w:cs="Times New Roman"/>
          <w:szCs w:val="28"/>
        </w:rPr>
      </w:pPr>
      <w:r w:rsidRPr="00F060A1">
        <w:rPr>
          <w:rFonts w:cs="Times New Roman"/>
          <w:szCs w:val="28"/>
        </w:rPr>
        <w:t>52. Šo noteikumu 1. </w:t>
      </w:r>
      <w:r w:rsidR="00257E6E" w:rsidRPr="00F060A1">
        <w:rPr>
          <w:rFonts w:cs="Times New Roman"/>
          <w:szCs w:val="28"/>
        </w:rPr>
        <w:t>pielikuma 240.</w:t>
      </w:r>
      <w:r w:rsidR="00257E6E" w:rsidRPr="00F060A1">
        <w:rPr>
          <w:rFonts w:cs="Times New Roman"/>
          <w:szCs w:val="28"/>
          <w:vertAlign w:val="superscript"/>
        </w:rPr>
        <w:t>1</w:t>
      </w:r>
      <w:r w:rsidRPr="00F060A1">
        <w:rPr>
          <w:rFonts w:cs="Times New Roman"/>
          <w:szCs w:val="28"/>
        </w:rPr>
        <w:t> </w:t>
      </w:r>
      <w:r w:rsidR="00257E6E" w:rsidRPr="00F060A1">
        <w:rPr>
          <w:rFonts w:cs="Times New Roman"/>
          <w:szCs w:val="28"/>
        </w:rPr>
        <w:t>punktā noteiktais iedalījums televīzijas apraides sistēmām radio</w:t>
      </w:r>
      <w:r w:rsidRPr="00F060A1">
        <w:rPr>
          <w:rFonts w:cs="Times New Roman"/>
          <w:szCs w:val="28"/>
        </w:rPr>
        <w:t>frekvenču spektra joslā 694–790 MHz ir spēkā līdz 2022. gada 30. jūnijam. No 2022. </w:t>
      </w:r>
      <w:r w:rsidR="00257E6E" w:rsidRPr="00F060A1">
        <w:rPr>
          <w:rFonts w:cs="Times New Roman"/>
          <w:szCs w:val="28"/>
        </w:rPr>
        <w:t>gada</w:t>
      </w:r>
      <w:r w:rsidRPr="00F060A1">
        <w:rPr>
          <w:rFonts w:cs="Times New Roman"/>
          <w:szCs w:val="28"/>
        </w:rPr>
        <w:t xml:space="preserve"> 1. janvāra līdz 2022. gada 30. </w:t>
      </w:r>
      <w:r w:rsidR="00257E6E" w:rsidRPr="00F060A1">
        <w:rPr>
          <w:rFonts w:cs="Times New Roman"/>
          <w:szCs w:val="28"/>
        </w:rPr>
        <w:t>jūnijam noteikts pārejas periods televīzijas apraides sistēmu raid</w:t>
      </w:r>
      <w:r w:rsidRPr="00F060A1">
        <w:rPr>
          <w:rFonts w:cs="Times New Roman"/>
          <w:szCs w:val="28"/>
        </w:rPr>
        <w:t>ošo tīklu pārkārtošanai 694-790 </w:t>
      </w:r>
      <w:r w:rsidR="00257E6E" w:rsidRPr="00F060A1">
        <w:rPr>
          <w:rFonts w:cs="Times New Roman"/>
          <w:szCs w:val="28"/>
        </w:rPr>
        <w:t>MHz radiofrekvenču spektra jos</w:t>
      </w:r>
      <w:r w:rsidRPr="00F060A1">
        <w:rPr>
          <w:rFonts w:cs="Times New Roman"/>
          <w:szCs w:val="28"/>
        </w:rPr>
        <w:t>las pilnīgai atbrīvošanai 2022. gada 30. </w:t>
      </w:r>
      <w:r w:rsidR="00257E6E" w:rsidRPr="00F060A1">
        <w:rPr>
          <w:rFonts w:cs="Times New Roman"/>
          <w:szCs w:val="28"/>
        </w:rPr>
        <w:t>jūnijā. Šajā pārejas perioda laikā radiofrekvences piešķīruma lietošanas atļaujas bezvadu platjoslas elektronisko sakaru sistēmu lietošanai ir izsniedzamas tajās ģeogrāfiskās vietās, kurās ir pabeigta televīzijas apraides raidošo tīklu pārkārtošana vai to darbībai nav iespējami kaitīgie radiotraucējumi. Šajā p</w:t>
      </w:r>
      <w:r w:rsidRPr="00F060A1">
        <w:rPr>
          <w:rFonts w:cs="Times New Roman"/>
          <w:szCs w:val="28"/>
        </w:rPr>
        <w:t>eriodā līdz 2022. gada 30. </w:t>
      </w:r>
      <w:r w:rsidR="00257E6E" w:rsidRPr="00F060A1">
        <w:rPr>
          <w:rFonts w:cs="Times New Roman"/>
          <w:szCs w:val="28"/>
        </w:rPr>
        <w:t xml:space="preserve">jūnijam zemes televīzijas apraidei tiek noteikta prioritāte pār citiem lietojuma veidiem. </w:t>
      </w:r>
    </w:p>
    <w:p w:rsidR="00257E6E" w:rsidRPr="00F060A1" w:rsidRDefault="00257E6E" w:rsidP="00222204">
      <w:pPr>
        <w:spacing w:after="0" w:line="240" w:lineRule="auto"/>
        <w:jc w:val="both"/>
        <w:rPr>
          <w:rFonts w:cs="Times New Roman"/>
          <w:szCs w:val="28"/>
        </w:rPr>
      </w:pPr>
    </w:p>
    <w:p w:rsidR="00C0117C" w:rsidRPr="00F060A1" w:rsidRDefault="00905531" w:rsidP="0043732C">
      <w:pPr>
        <w:spacing w:after="0" w:line="240" w:lineRule="auto"/>
        <w:ind w:firstLine="360"/>
        <w:jc w:val="both"/>
        <w:rPr>
          <w:rFonts w:cs="Times New Roman"/>
          <w:szCs w:val="28"/>
        </w:rPr>
      </w:pPr>
      <w:r w:rsidRPr="00F060A1">
        <w:rPr>
          <w:rFonts w:cs="Times New Roman"/>
          <w:szCs w:val="28"/>
        </w:rPr>
        <w:t xml:space="preserve">53. </w:t>
      </w:r>
      <w:r w:rsidR="00C0117C" w:rsidRPr="00F060A1">
        <w:rPr>
          <w:szCs w:val="28"/>
        </w:rPr>
        <w:t>Šo noteikumu 1. pielikuma 240.</w:t>
      </w:r>
      <w:r w:rsidR="00C0117C" w:rsidRPr="00F060A1">
        <w:rPr>
          <w:szCs w:val="28"/>
          <w:vertAlign w:val="superscript"/>
        </w:rPr>
        <w:t>1</w:t>
      </w:r>
      <w:r w:rsidR="00C0117C" w:rsidRPr="00F060A1">
        <w:rPr>
          <w:szCs w:val="28"/>
        </w:rPr>
        <w:t xml:space="preserve"> punktā noteiktais iedalījums </w:t>
      </w:r>
      <w:r w:rsidR="00C0117C" w:rsidRPr="00AD565D">
        <w:rPr>
          <w:szCs w:val="28"/>
        </w:rPr>
        <w:t xml:space="preserve">SRD sistēmām radiofrekvenču spektra joslā 694 – 789 MHz un SAB/SAP sistēmām radiofrekvenču spektra joslā 694–786MHz </w:t>
      </w:r>
      <w:r w:rsidR="00C0117C" w:rsidRPr="00F060A1">
        <w:rPr>
          <w:szCs w:val="28"/>
        </w:rPr>
        <w:t>ir spēkā līdz 2022. gada 1. janvārim.</w:t>
      </w:r>
    </w:p>
    <w:p w:rsidR="00257E6E" w:rsidRPr="00F060A1" w:rsidRDefault="00257E6E" w:rsidP="00222204">
      <w:pPr>
        <w:spacing w:after="0" w:line="240" w:lineRule="auto"/>
        <w:jc w:val="both"/>
        <w:rPr>
          <w:rFonts w:cs="Times New Roman"/>
          <w:szCs w:val="28"/>
        </w:rPr>
      </w:pPr>
    </w:p>
    <w:p w:rsidR="00257E6E" w:rsidRPr="00F060A1" w:rsidRDefault="00B31BC7" w:rsidP="0043732C">
      <w:pPr>
        <w:spacing w:after="0" w:line="240" w:lineRule="auto"/>
        <w:ind w:firstLine="360"/>
        <w:jc w:val="both"/>
        <w:rPr>
          <w:rFonts w:cs="Times New Roman"/>
          <w:szCs w:val="28"/>
        </w:rPr>
      </w:pPr>
      <w:r w:rsidRPr="00F060A1">
        <w:rPr>
          <w:rFonts w:cs="Times New Roman"/>
          <w:szCs w:val="28"/>
        </w:rPr>
        <w:t>54. Šo noteikumu 1. </w:t>
      </w:r>
      <w:r w:rsidR="00257E6E" w:rsidRPr="00F060A1">
        <w:rPr>
          <w:rFonts w:cs="Times New Roman"/>
          <w:szCs w:val="28"/>
        </w:rPr>
        <w:t>pielikuma 240.</w:t>
      </w:r>
      <w:r w:rsidR="00257E6E" w:rsidRPr="00F060A1">
        <w:rPr>
          <w:rFonts w:cs="Times New Roman"/>
          <w:szCs w:val="28"/>
          <w:vertAlign w:val="superscript"/>
        </w:rPr>
        <w:t>1</w:t>
      </w:r>
      <w:r w:rsidRPr="00F060A1">
        <w:rPr>
          <w:rFonts w:cs="Times New Roman"/>
          <w:szCs w:val="28"/>
        </w:rPr>
        <w:t> punktā noteiktās 703–733 MHz un 758–788 </w:t>
      </w:r>
      <w:r w:rsidR="00257E6E" w:rsidRPr="00F060A1">
        <w:rPr>
          <w:rFonts w:cs="Times New Roman"/>
          <w:szCs w:val="28"/>
        </w:rPr>
        <w:t xml:space="preserve">MHz radiofrekvenču spektra joslas </w:t>
      </w:r>
      <w:r w:rsidR="00505881" w:rsidRPr="00F060A1">
        <w:rPr>
          <w:rFonts w:cs="Times New Roman"/>
          <w:szCs w:val="28"/>
        </w:rPr>
        <w:t xml:space="preserve">no 2022. gada 1. janvāra </w:t>
      </w:r>
      <w:r w:rsidR="00257E6E" w:rsidRPr="00F060A1">
        <w:rPr>
          <w:rFonts w:cs="Times New Roman"/>
          <w:szCs w:val="28"/>
        </w:rPr>
        <w:t>ir izmantojamas publisko mobilo elektronisko sakaru tīklu pakalpojumu nodrošināšanai un šīs radiofrekvenču spektra joslas var izmantot PPDR sistēmas darbības nodrošināšanai saskaņā ar PPDR sistēmas īpašnieka vai tiesiskā valdītāja un elektronisko sakaru komersantu noslēgtu vienošanos</w:t>
      </w:r>
      <w:r w:rsidR="00E74A25" w:rsidRPr="00F060A1">
        <w:rPr>
          <w:rFonts w:cs="Times New Roman"/>
          <w:szCs w:val="28"/>
        </w:rPr>
        <w:t>.</w:t>
      </w:r>
      <w:r w:rsidR="00281F18" w:rsidRPr="00F060A1">
        <w:rPr>
          <w:rFonts w:cs="Times New Roman"/>
          <w:szCs w:val="28"/>
        </w:rPr>
        <w:t>”</w:t>
      </w:r>
    </w:p>
    <w:p w:rsidR="00514497" w:rsidRPr="00F060A1" w:rsidRDefault="00514497" w:rsidP="0043732C">
      <w:pPr>
        <w:jc w:val="both"/>
        <w:rPr>
          <w:rFonts w:cs="Times New Roman"/>
          <w:bCs/>
          <w:szCs w:val="28"/>
        </w:rPr>
      </w:pPr>
    </w:p>
    <w:p w:rsidR="004075A0" w:rsidRPr="007C04F6" w:rsidRDefault="004075A0" w:rsidP="0043732C">
      <w:pPr>
        <w:pStyle w:val="ListParagraph"/>
        <w:numPr>
          <w:ilvl w:val="0"/>
          <w:numId w:val="2"/>
        </w:numPr>
        <w:jc w:val="both"/>
        <w:rPr>
          <w:rFonts w:cs="Times New Roman"/>
          <w:bCs/>
          <w:szCs w:val="28"/>
        </w:rPr>
      </w:pPr>
      <w:r w:rsidRPr="007C04F6">
        <w:rPr>
          <w:rFonts w:cs="Times New Roman"/>
          <w:bCs/>
          <w:szCs w:val="28"/>
        </w:rPr>
        <w:lastRenderedPageBreak/>
        <w:t>Izteikt 1. pielikuma 237., 238. un 239. punktu šādā redakcijā:</w:t>
      </w:r>
    </w:p>
    <w:p w:rsidR="00257E6E" w:rsidRPr="00212697" w:rsidRDefault="00027EBD" w:rsidP="0043732C">
      <w:pPr>
        <w:spacing w:after="0"/>
        <w:jc w:val="both"/>
        <w:rPr>
          <w:rFonts w:cs="Times New Roman"/>
          <w:bCs/>
          <w:szCs w:val="28"/>
        </w:rPr>
      </w:pPr>
      <w:r w:rsidRPr="00212697">
        <w:rPr>
          <w:rFonts w:cs="Times New Roman"/>
          <w:bCs/>
          <w:szCs w:val="28"/>
        </w:rPr>
        <w:t>“</w:t>
      </w:r>
    </w:p>
    <w:tbl>
      <w:tblPr>
        <w:tblW w:w="546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
        <w:gridCol w:w="428"/>
        <w:gridCol w:w="35"/>
        <w:gridCol w:w="1509"/>
        <w:gridCol w:w="1509"/>
        <w:gridCol w:w="970"/>
        <w:gridCol w:w="1678"/>
        <w:gridCol w:w="2878"/>
      </w:tblGrid>
      <w:tr w:rsidR="004075A0" w:rsidRPr="004075A0" w:rsidTr="00F700DE">
        <w:trPr>
          <w:tblCellSpacing w:w="15" w:type="dxa"/>
        </w:trPr>
        <w:tc>
          <w:tcPr>
            <w:tcW w:w="243" w:type="pct"/>
            <w:gridSpan w:val="2"/>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237.</w:t>
            </w:r>
          </w:p>
        </w:tc>
        <w:tc>
          <w:tcPr>
            <w:tcW w:w="4708" w:type="pct"/>
            <w:gridSpan w:val="6"/>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before="100" w:beforeAutospacing="1" w:after="0" w:line="240" w:lineRule="auto"/>
              <w:jc w:val="both"/>
              <w:rPr>
                <w:rFonts w:eastAsia="Times New Roman" w:cs="Times New Roman"/>
                <w:b/>
                <w:bCs/>
                <w:sz w:val="20"/>
                <w:szCs w:val="20"/>
              </w:rPr>
            </w:pPr>
            <w:r w:rsidRPr="004075A0">
              <w:rPr>
                <w:rFonts w:eastAsia="Times New Roman" w:cs="Times New Roman"/>
                <w:b/>
                <w:bCs/>
                <w:sz w:val="20"/>
                <w:szCs w:val="20"/>
              </w:rPr>
              <w:t>456–459 MHz</w:t>
            </w:r>
          </w:p>
        </w:tc>
      </w:tr>
      <w:tr w:rsidR="00027EBD" w:rsidRPr="00027EBD" w:rsidTr="00C10920">
        <w:trPr>
          <w:gridBefore w:val="1"/>
          <w:wBefore w:w="7" w:type="pct"/>
          <w:tblCellSpacing w:w="15" w:type="dxa"/>
        </w:trPr>
        <w:tc>
          <w:tcPr>
            <w:tcW w:w="239" w:type="pct"/>
            <w:gridSpan w:val="2"/>
            <w:vMerge w:val="restar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jc w:val="both"/>
              <w:rPr>
                <w:rFonts w:cs="Times New Roman"/>
                <w:sz w:val="20"/>
                <w:szCs w:val="20"/>
              </w:rPr>
            </w:pPr>
          </w:p>
        </w:tc>
        <w:tc>
          <w:tcPr>
            <w:tcW w:w="816" w:type="pct"/>
            <w:vMerge w:val="restar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 xml:space="preserve">FIKSĒTAIS </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MOBILAIS 5.286AA</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5.271 5.287</w:t>
            </w:r>
          </w:p>
        </w:tc>
        <w:tc>
          <w:tcPr>
            <w:tcW w:w="816" w:type="pct"/>
            <w:vMerge w:val="restar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 xml:space="preserve">FIKSĒTAIS </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MOBILAIS 5.286AA</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5.287</w:t>
            </w:r>
          </w:p>
        </w:tc>
        <w:tc>
          <w:tcPr>
            <w:tcW w:w="519"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IMT/ML: 450–457,5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 xml:space="preserve">ECC/DEC/(04)06 - ECC 2004. gada 19. marta lēmums par frekvenču joslu pieejamību platjoslas ciparu zemes mobilo PMR/PAMR sistēmu ieviešanai 400 MHz un 800/900 MHz diapazonos </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CEPT T/R 25-08 – Sauszemes mobilā dienesta radiofrekvenču plānošana un koordinācija 29,7–470 MHz joslā</w:t>
            </w:r>
          </w:p>
        </w:tc>
        <w:tc>
          <w:tcPr>
            <w:tcW w:w="1526"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 xml:space="preserve">Platjoslas ciparu sistēmas. Dupleksie kanāli (FB: 460–467,5 MHz) </w:t>
            </w:r>
          </w:p>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Radiosaskarne RS LM.450</w:t>
            </w:r>
          </w:p>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Publiskie elektronisko sakaru tīkli</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Sakari uz kuģiem: 457,5125–457,5875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ITU-R M.1174 – Sakariem uz kuģiem lietojamo radioiekārtu frekvenču joslās starp 440 MHz un 470 MHz tehniskais raksturojums </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CEPT T/R 32-02 – Radiofrekvences sakariem uz kuģiem</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LM.450-1</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PMR/ML: 457,5875–458,1125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CEPT T/R 25-08 – Sauszemes mobilā dienesta radiofrekvenču plānošana un koordinācija 29,7–9470 MHz joslā</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Dzelzceļa sakari. Dupleksie kanāli (FB: 467,5875– 468,1125 MHz) </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LM.450-2</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Privātie elektronisko sakaru tīkli</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Ciparu PMR/ML: 458,1125–459,4250 MHz</w:t>
            </w:r>
          </w:p>
        </w:tc>
        <w:tc>
          <w:tcPr>
            <w:tcW w:w="945"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 xml:space="preserve">CEPT T/R 25-08 – Sauszemes mobilā dienesta radiofrekvenču plānošana un koordinācija 29,7–921 MHz joslā </w:t>
            </w:r>
          </w:p>
          <w:p w:rsidR="004075A0" w:rsidRPr="00027EBD" w:rsidRDefault="004075A0" w:rsidP="0043732C">
            <w:pPr>
              <w:spacing w:before="100" w:beforeAutospacing="1" w:after="100" w:afterAutospacing="1" w:line="240" w:lineRule="auto"/>
              <w:jc w:val="both"/>
              <w:rPr>
                <w:rFonts w:eastAsia="Times New Roman" w:cs="Times New Roman"/>
                <w:sz w:val="20"/>
                <w:szCs w:val="20"/>
              </w:rPr>
            </w:pPr>
            <w:r w:rsidRPr="00027EBD">
              <w:rPr>
                <w:rFonts w:eastAsia="Times New Roman" w:cs="Times New Roman"/>
                <w:sz w:val="20"/>
                <w:szCs w:val="20"/>
              </w:rPr>
              <w:t xml:space="preserve">ECC/DEC/(06)06 – ECC 2006. gada 7. jūlija lēmums </w:t>
            </w:r>
            <w:r w:rsidRPr="00027EBD">
              <w:rPr>
                <w:rFonts w:eastAsia="Times New Roman" w:cs="Times New Roman"/>
                <w:sz w:val="20"/>
                <w:szCs w:val="20"/>
              </w:rPr>
              <w:lastRenderedPageBreak/>
              <w:t>par radiofrekvenču joslu pieejamību 80 MHz, 160 MHz un 400 MHz diapazonos šaurjoslas sauszemes mobilo ciparu PMR/PAMR sistēmu ieviešanai</w:t>
            </w:r>
          </w:p>
        </w:tc>
        <w:tc>
          <w:tcPr>
            <w:tcW w:w="1526" w:type="pct"/>
            <w:tcBorders>
              <w:top w:val="outset" w:sz="6" w:space="0" w:color="auto"/>
              <w:left w:val="outset" w:sz="6" w:space="0" w:color="auto"/>
              <w:bottom w:val="outset" w:sz="6" w:space="0" w:color="auto"/>
              <w:right w:val="outset" w:sz="6" w:space="0" w:color="auto"/>
            </w:tcBorders>
            <w:hideMark/>
          </w:tcPr>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lastRenderedPageBreak/>
              <w:t xml:space="preserve">Šaurjoslas sistēmas </w:t>
            </w:r>
          </w:p>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Dupleksie kanāli (FB: 468,1125-469,4250 MHz)</w:t>
            </w:r>
          </w:p>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Radiosaskarne RS LM.450-3</w:t>
            </w:r>
          </w:p>
          <w:p w:rsidR="004075A0" w:rsidRPr="00027EBD" w:rsidRDefault="004075A0" w:rsidP="0043732C">
            <w:pPr>
              <w:spacing w:after="0" w:line="240" w:lineRule="auto"/>
              <w:jc w:val="both"/>
              <w:rPr>
                <w:rFonts w:eastAsia="Times New Roman" w:cs="Times New Roman"/>
                <w:sz w:val="20"/>
                <w:szCs w:val="20"/>
              </w:rPr>
            </w:pPr>
            <w:r w:rsidRPr="00027EBD">
              <w:rPr>
                <w:rFonts w:eastAsia="Times New Roman" w:cs="Times New Roman"/>
                <w:sz w:val="20"/>
                <w:szCs w:val="20"/>
              </w:rPr>
              <w:t>Privātie elektronisko sakaru tīkli</w:t>
            </w:r>
          </w:p>
        </w:tc>
      </w:tr>
      <w:tr w:rsidR="004075A0" w:rsidRPr="004075A0" w:rsidTr="00F700DE">
        <w:trPr>
          <w:tblCellSpacing w:w="15" w:type="dxa"/>
        </w:trPr>
        <w:tc>
          <w:tcPr>
            <w:tcW w:w="243" w:type="pct"/>
            <w:gridSpan w:val="2"/>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238.</w:t>
            </w:r>
          </w:p>
        </w:tc>
        <w:tc>
          <w:tcPr>
            <w:tcW w:w="4708" w:type="pct"/>
            <w:gridSpan w:val="6"/>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before="100" w:beforeAutospacing="1" w:after="100" w:afterAutospacing="1" w:line="240" w:lineRule="auto"/>
              <w:jc w:val="both"/>
              <w:rPr>
                <w:rFonts w:eastAsia="Times New Roman" w:cs="Times New Roman"/>
                <w:b/>
                <w:bCs/>
                <w:sz w:val="20"/>
                <w:szCs w:val="20"/>
              </w:rPr>
            </w:pPr>
            <w:r w:rsidRPr="004075A0">
              <w:rPr>
                <w:rFonts w:eastAsia="Times New Roman" w:cs="Times New Roman"/>
                <w:b/>
                <w:bCs/>
                <w:sz w:val="20"/>
                <w:szCs w:val="20"/>
              </w:rPr>
              <w:t>459–460 MHz</w:t>
            </w:r>
          </w:p>
        </w:tc>
      </w:tr>
      <w:tr w:rsidR="00C10920" w:rsidRPr="004075A0" w:rsidTr="00C10920">
        <w:trPr>
          <w:gridBefore w:val="1"/>
          <w:wBefore w:w="7" w:type="pct"/>
          <w:tblCellSpacing w:w="15" w:type="dxa"/>
        </w:trPr>
        <w:tc>
          <w:tcPr>
            <w:tcW w:w="239" w:type="pct"/>
            <w:gridSpan w:val="2"/>
            <w:vMerge w:val="restart"/>
            <w:tcBorders>
              <w:top w:val="outset" w:sz="6" w:space="0" w:color="auto"/>
              <w:left w:val="outset" w:sz="6" w:space="0" w:color="auto"/>
              <w:right w:val="outset" w:sz="6" w:space="0" w:color="auto"/>
            </w:tcBorders>
            <w:hideMark/>
          </w:tcPr>
          <w:p w:rsidR="00C10920" w:rsidRPr="004075A0" w:rsidRDefault="00C10920" w:rsidP="0043732C">
            <w:pPr>
              <w:jc w:val="both"/>
              <w:rPr>
                <w:rFonts w:cs="Times New Roman"/>
                <w:sz w:val="20"/>
                <w:szCs w:val="20"/>
              </w:rPr>
            </w:pPr>
          </w:p>
        </w:tc>
        <w:tc>
          <w:tcPr>
            <w:tcW w:w="816" w:type="pct"/>
            <w:vMerge w:val="restart"/>
            <w:tcBorders>
              <w:top w:val="outset" w:sz="6" w:space="0" w:color="auto"/>
              <w:left w:val="outset" w:sz="6" w:space="0" w:color="auto"/>
              <w:right w:val="outset" w:sz="6" w:space="0" w:color="auto"/>
            </w:tcBorders>
            <w:hideMark/>
          </w:tcPr>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FIKSĒTAIS </w:t>
            </w:r>
          </w:p>
          <w:p w:rsidR="00C10920" w:rsidRPr="004075A0" w:rsidRDefault="00C1092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MOBILAIS 5.286AA</w:t>
            </w:r>
          </w:p>
          <w:p w:rsidR="00C10920" w:rsidRPr="004075A0" w:rsidRDefault="00C1092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5.209 5.271 5.286A</w:t>
            </w:r>
          </w:p>
        </w:tc>
        <w:tc>
          <w:tcPr>
            <w:tcW w:w="816" w:type="pct"/>
            <w:vMerge w:val="restart"/>
            <w:tcBorders>
              <w:top w:val="outset" w:sz="6" w:space="0" w:color="auto"/>
              <w:left w:val="outset" w:sz="6" w:space="0" w:color="auto"/>
              <w:right w:val="outset" w:sz="6" w:space="0" w:color="auto"/>
            </w:tcBorders>
            <w:hideMark/>
          </w:tcPr>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FIKSĒTAIS </w:t>
            </w:r>
          </w:p>
          <w:p w:rsidR="00C10920" w:rsidRPr="004075A0" w:rsidRDefault="00C1092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MOBILAIS 5.286AA</w:t>
            </w:r>
          </w:p>
          <w:p w:rsidR="00C10920" w:rsidRPr="004075A0" w:rsidRDefault="00C1092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5.209 5.286A</w:t>
            </w:r>
          </w:p>
        </w:tc>
        <w:tc>
          <w:tcPr>
            <w:tcW w:w="519" w:type="pct"/>
            <w:tcBorders>
              <w:top w:val="outset" w:sz="6" w:space="0" w:color="auto"/>
              <w:left w:val="outset" w:sz="6" w:space="0" w:color="auto"/>
              <w:bottom w:val="outset" w:sz="6" w:space="0" w:color="auto"/>
              <w:right w:val="outset" w:sz="6" w:space="0" w:color="auto"/>
            </w:tcBorders>
            <w:hideMark/>
          </w:tcPr>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Ciparu PMR/ML: 458,1125–459,4250 MHz;</w:t>
            </w:r>
          </w:p>
          <w:p w:rsidR="00C10920" w:rsidRPr="00F46CB3" w:rsidRDefault="00C10920" w:rsidP="0043732C">
            <w:pPr>
              <w:spacing w:after="0" w:line="240" w:lineRule="auto"/>
              <w:ind w:left="-48" w:right="-51"/>
              <w:jc w:val="both"/>
              <w:rPr>
                <w:rFonts w:eastAsia="Times New Roman" w:cs="Times New Roman"/>
                <w:sz w:val="20"/>
                <w:szCs w:val="20"/>
              </w:rPr>
            </w:pPr>
            <w:r w:rsidRPr="00F46CB3">
              <w:rPr>
                <w:rFonts w:eastAsia="Times New Roman" w:cs="Times New Roman"/>
                <w:sz w:val="20"/>
                <w:szCs w:val="20"/>
              </w:rPr>
              <w:t>459,6750-460 MHz</w:t>
            </w:r>
          </w:p>
        </w:tc>
        <w:tc>
          <w:tcPr>
            <w:tcW w:w="945" w:type="pct"/>
            <w:tcBorders>
              <w:top w:val="outset" w:sz="6" w:space="0" w:color="auto"/>
              <w:left w:val="outset" w:sz="6" w:space="0" w:color="auto"/>
              <w:bottom w:val="outset" w:sz="6" w:space="0" w:color="auto"/>
              <w:right w:val="outset" w:sz="6" w:space="0" w:color="auto"/>
            </w:tcBorders>
            <w:hideMark/>
          </w:tcPr>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 xml:space="preserve">CEPT T/R 25-08 – Sauszemes mobilā dienesta radiofrekvenču plānošana un koordinācija 29,7–921 MHz joslā </w:t>
            </w:r>
          </w:p>
          <w:p w:rsidR="00C10920" w:rsidRPr="00F46CB3" w:rsidRDefault="00C10920" w:rsidP="0043732C">
            <w:pPr>
              <w:spacing w:before="100" w:beforeAutospacing="1" w:after="100" w:afterAutospacing="1" w:line="240" w:lineRule="auto"/>
              <w:jc w:val="both"/>
              <w:rPr>
                <w:rFonts w:eastAsia="Times New Roman" w:cs="Times New Roman"/>
                <w:sz w:val="20"/>
                <w:szCs w:val="20"/>
              </w:rPr>
            </w:pPr>
            <w:r w:rsidRPr="00F46CB3">
              <w:rPr>
                <w:rFonts w:eastAsia="Times New Roman" w:cs="Times New Roman"/>
                <w:sz w:val="20"/>
                <w:szCs w:val="20"/>
              </w:rPr>
              <w:t>ECC/DEC/(06)06 – ECC 2006. gada 7. jūlija lēmums par radiofrekvenču joslu pieejamību 80 MHz, 160 MHz un 400 MHz diapazonos šaurjoslas sauszemes mobilo ciparu PMR/PAMR sistēmu ieviešanai</w:t>
            </w:r>
          </w:p>
        </w:tc>
        <w:tc>
          <w:tcPr>
            <w:tcW w:w="1526" w:type="pct"/>
            <w:tcBorders>
              <w:top w:val="outset" w:sz="6" w:space="0" w:color="auto"/>
              <w:left w:val="outset" w:sz="6" w:space="0" w:color="auto"/>
              <w:bottom w:val="outset" w:sz="6" w:space="0" w:color="auto"/>
              <w:right w:val="outset" w:sz="6" w:space="0" w:color="auto"/>
            </w:tcBorders>
            <w:hideMark/>
          </w:tcPr>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 xml:space="preserve">Šaurjoslas sistēmas </w:t>
            </w:r>
          </w:p>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Dupleksie kanāli (FB: 468,1125-469,4250 MHz; 469,6750-470 MHz)</w:t>
            </w:r>
          </w:p>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Radiosaskarne RS LM.450-3</w:t>
            </w:r>
          </w:p>
          <w:p w:rsidR="00C10920" w:rsidRPr="00F46CB3" w:rsidRDefault="00C10920" w:rsidP="0043732C">
            <w:pPr>
              <w:spacing w:after="0" w:line="240" w:lineRule="auto"/>
              <w:jc w:val="both"/>
              <w:rPr>
                <w:rFonts w:eastAsia="Times New Roman" w:cs="Times New Roman"/>
                <w:sz w:val="20"/>
                <w:szCs w:val="20"/>
              </w:rPr>
            </w:pPr>
            <w:r w:rsidRPr="00F46CB3">
              <w:rPr>
                <w:rFonts w:eastAsia="Times New Roman" w:cs="Times New Roman"/>
                <w:sz w:val="20"/>
                <w:szCs w:val="20"/>
              </w:rPr>
              <w:t>Privātie elektronisko sakaru tīkli</w:t>
            </w:r>
          </w:p>
        </w:tc>
      </w:tr>
      <w:tr w:rsidR="00C10920" w:rsidRPr="004075A0" w:rsidTr="00C10920">
        <w:trPr>
          <w:gridBefore w:val="1"/>
          <w:wBefore w:w="7" w:type="pct"/>
          <w:tblCellSpacing w:w="15" w:type="dxa"/>
        </w:trPr>
        <w:tc>
          <w:tcPr>
            <w:tcW w:w="239" w:type="pct"/>
            <w:gridSpan w:val="2"/>
            <w:vMerge/>
            <w:tcBorders>
              <w:left w:val="outset" w:sz="6" w:space="0" w:color="auto"/>
              <w:bottom w:val="outset" w:sz="6" w:space="0" w:color="auto"/>
              <w:right w:val="outset" w:sz="6" w:space="0" w:color="auto"/>
            </w:tcBorders>
          </w:tcPr>
          <w:p w:rsidR="00C10920" w:rsidRPr="004075A0" w:rsidRDefault="00C10920" w:rsidP="0043732C">
            <w:pPr>
              <w:spacing w:after="0" w:line="240" w:lineRule="auto"/>
              <w:jc w:val="both"/>
              <w:rPr>
                <w:rFonts w:eastAsia="Times New Roman" w:cs="Times New Roman"/>
                <w:sz w:val="20"/>
                <w:szCs w:val="20"/>
              </w:rPr>
            </w:pPr>
          </w:p>
        </w:tc>
        <w:tc>
          <w:tcPr>
            <w:tcW w:w="816" w:type="pct"/>
            <w:vMerge/>
            <w:tcBorders>
              <w:left w:val="outset" w:sz="6" w:space="0" w:color="auto"/>
              <w:bottom w:val="outset" w:sz="6" w:space="0" w:color="auto"/>
              <w:right w:val="outset" w:sz="6" w:space="0" w:color="auto"/>
            </w:tcBorders>
          </w:tcPr>
          <w:p w:rsidR="00C10920" w:rsidRPr="004075A0" w:rsidRDefault="00C10920" w:rsidP="0043732C">
            <w:pPr>
              <w:spacing w:after="0" w:line="240" w:lineRule="auto"/>
              <w:jc w:val="both"/>
              <w:rPr>
                <w:rFonts w:eastAsia="Times New Roman" w:cs="Times New Roman"/>
                <w:sz w:val="20"/>
                <w:szCs w:val="20"/>
              </w:rPr>
            </w:pPr>
          </w:p>
        </w:tc>
        <w:tc>
          <w:tcPr>
            <w:tcW w:w="816" w:type="pct"/>
            <w:vMerge/>
            <w:tcBorders>
              <w:left w:val="outset" w:sz="6" w:space="0" w:color="auto"/>
              <w:bottom w:val="outset" w:sz="6" w:space="0" w:color="auto"/>
              <w:right w:val="outset" w:sz="6" w:space="0" w:color="auto"/>
            </w:tcBorders>
          </w:tcPr>
          <w:p w:rsidR="00C10920" w:rsidRPr="004075A0" w:rsidRDefault="00C10920" w:rsidP="0043732C">
            <w:pPr>
              <w:spacing w:after="0" w:line="240" w:lineRule="auto"/>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Ciparu PMR: 459,4250–459,6750 MHz</w:t>
            </w:r>
          </w:p>
        </w:tc>
        <w:tc>
          <w:tcPr>
            <w:tcW w:w="945" w:type="pct"/>
            <w:tcBorders>
              <w:top w:val="outset" w:sz="6" w:space="0" w:color="auto"/>
              <w:left w:val="outset" w:sz="6" w:space="0" w:color="auto"/>
              <w:bottom w:val="outset" w:sz="6" w:space="0" w:color="auto"/>
              <w:right w:val="outset" w:sz="6" w:space="0" w:color="auto"/>
            </w:tcBorders>
          </w:tcPr>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CEPT T/R 25-08 – Sauszemes mobilā dienesta radiofrekvenču plānošana un koordinācija 29,7–921 MHz joslā </w:t>
            </w:r>
          </w:p>
          <w:p w:rsidR="00C10920" w:rsidRPr="004075A0" w:rsidRDefault="00C10920" w:rsidP="0043732C">
            <w:pPr>
              <w:spacing w:after="0" w:line="240" w:lineRule="auto"/>
              <w:jc w:val="both"/>
              <w:rPr>
                <w:rFonts w:eastAsia="Times New Roman" w:cs="Times New Roman"/>
                <w:sz w:val="20"/>
                <w:szCs w:val="20"/>
              </w:rPr>
            </w:pPr>
          </w:p>
        </w:tc>
        <w:tc>
          <w:tcPr>
            <w:tcW w:w="1526" w:type="pct"/>
            <w:tcBorders>
              <w:top w:val="outset" w:sz="6" w:space="0" w:color="auto"/>
              <w:left w:val="outset" w:sz="6" w:space="0" w:color="auto"/>
              <w:bottom w:val="outset" w:sz="6" w:space="0" w:color="auto"/>
              <w:right w:val="outset" w:sz="6" w:space="0" w:color="auto"/>
            </w:tcBorders>
            <w:hideMark/>
          </w:tcPr>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Datu pārraides tīkli </w:t>
            </w:r>
          </w:p>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Dupleksie kanāli: 469,4250-469,6750 MHz</w:t>
            </w:r>
          </w:p>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 LM.450-4</w:t>
            </w:r>
          </w:p>
          <w:p w:rsidR="00C10920" w:rsidRPr="004075A0" w:rsidRDefault="00C10920" w:rsidP="0043732C">
            <w:pPr>
              <w:spacing w:after="0" w:line="240" w:lineRule="auto"/>
              <w:jc w:val="both"/>
              <w:rPr>
                <w:rFonts w:eastAsia="Times New Roman" w:cs="Times New Roman"/>
                <w:sz w:val="20"/>
                <w:szCs w:val="20"/>
              </w:rPr>
            </w:pPr>
            <w:r w:rsidRPr="004075A0">
              <w:rPr>
                <w:rFonts w:eastAsia="Times New Roman" w:cs="Times New Roman"/>
                <w:sz w:val="20"/>
                <w:szCs w:val="20"/>
              </w:rPr>
              <w:t>Privātie elektronisko sakaru tīkli</w:t>
            </w:r>
          </w:p>
        </w:tc>
      </w:tr>
      <w:tr w:rsidR="004075A0" w:rsidRPr="004075A0" w:rsidTr="00F700DE">
        <w:trPr>
          <w:tblCellSpacing w:w="15" w:type="dxa"/>
        </w:trPr>
        <w:tc>
          <w:tcPr>
            <w:tcW w:w="243" w:type="pct"/>
            <w:gridSpan w:val="2"/>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239.</w:t>
            </w:r>
          </w:p>
        </w:tc>
        <w:tc>
          <w:tcPr>
            <w:tcW w:w="4708" w:type="pct"/>
            <w:gridSpan w:val="6"/>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before="100" w:beforeAutospacing="1" w:after="100" w:afterAutospacing="1" w:line="240" w:lineRule="auto"/>
              <w:jc w:val="both"/>
              <w:rPr>
                <w:rFonts w:eastAsia="Times New Roman" w:cs="Times New Roman"/>
                <w:b/>
                <w:bCs/>
                <w:sz w:val="20"/>
                <w:szCs w:val="20"/>
              </w:rPr>
            </w:pPr>
            <w:r w:rsidRPr="004075A0">
              <w:rPr>
                <w:rFonts w:eastAsia="Times New Roman" w:cs="Times New Roman"/>
                <w:b/>
                <w:bCs/>
                <w:sz w:val="20"/>
                <w:szCs w:val="20"/>
              </w:rPr>
              <w:t>460–470 MHz</w:t>
            </w:r>
          </w:p>
        </w:tc>
      </w:tr>
      <w:tr w:rsidR="00D85F6C" w:rsidRPr="004075A0" w:rsidTr="00C10920">
        <w:trPr>
          <w:gridBefore w:val="1"/>
          <w:wBefore w:w="7" w:type="pct"/>
          <w:tblCellSpacing w:w="15" w:type="dxa"/>
        </w:trPr>
        <w:tc>
          <w:tcPr>
            <w:tcW w:w="239" w:type="pct"/>
            <w:gridSpan w:val="2"/>
            <w:vMerge w:val="restar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jc w:val="both"/>
              <w:rPr>
                <w:rFonts w:cs="Times New Roman"/>
                <w:sz w:val="20"/>
                <w:szCs w:val="20"/>
              </w:rPr>
            </w:pPr>
          </w:p>
        </w:tc>
        <w:tc>
          <w:tcPr>
            <w:tcW w:w="816" w:type="pct"/>
            <w:vMerge w:val="restar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FIKSĒTAIS </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MOBILAIS</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Meteoroloģiskais satelītu (izplatījums–Zeme)</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5.287 5.289 5.290 5.286AA</w:t>
            </w:r>
          </w:p>
        </w:tc>
        <w:tc>
          <w:tcPr>
            <w:tcW w:w="816" w:type="pct"/>
            <w:vMerge w:val="restar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FIKSĒTAIS </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MOBILAIS</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Meteoroloģiskais satelītu (izplatījums–Zeme)</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5.287 5.289 5.286AA</w:t>
            </w: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IMT/FB: 460–467,5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ECC/DEC/(04)06 – ECC 2004. gada 19. marta lēmums par frekvenču joslu pieejamību platjoslas ciparu zemes mobilo PMR/PAMR sistēmu ieviešanai 400 MHz un 800/900 MHz diapazonos </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 xml:space="preserve">CEPT T/R 25-08 – Sauszemes mobilā </w:t>
            </w:r>
            <w:r w:rsidRPr="004075A0">
              <w:rPr>
                <w:rFonts w:eastAsia="Times New Roman" w:cs="Times New Roman"/>
                <w:sz w:val="20"/>
                <w:szCs w:val="20"/>
              </w:rPr>
              <w:lastRenderedPageBreak/>
              <w:t>dienesta radiofrekvenču plānošana un koordinācija 29,7–921 MHz joslā</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lastRenderedPageBreak/>
              <w:t xml:space="preserve">Platjoslas ciparu sistēmas. Dupleksie kanāli (ML: 450–457,5 MHz) </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LM.450</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Publiskie elektronisko sakaru tīkli</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Sakari uz kuģiem: 467,5125–467,5875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ITU-R M.1174 – Sakariem uz kuģiem lietojamo radioiekārtu frekvenču joslās starp 440 MHz un 470 MHz tehniskais raksturojums </w:t>
            </w:r>
          </w:p>
          <w:p w:rsidR="004075A0" w:rsidRPr="004075A0" w:rsidRDefault="004075A0" w:rsidP="0043732C">
            <w:pPr>
              <w:spacing w:before="100" w:beforeAutospacing="1" w:after="100" w:afterAutospacing="1" w:line="240" w:lineRule="auto"/>
              <w:jc w:val="both"/>
              <w:rPr>
                <w:rFonts w:eastAsia="Times New Roman" w:cs="Times New Roman"/>
                <w:sz w:val="20"/>
                <w:szCs w:val="20"/>
              </w:rPr>
            </w:pPr>
            <w:r w:rsidRPr="004075A0">
              <w:rPr>
                <w:rFonts w:eastAsia="Times New Roman" w:cs="Times New Roman"/>
                <w:sz w:val="20"/>
                <w:szCs w:val="20"/>
              </w:rPr>
              <w:t>CEPT T/R 32-02 – Radiofrekvences sakariem uz kuģiem</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LM.450-3</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PMR/FB: 467,5875–468,1125 MHz</w:t>
            </w:r>
          </w:p>
        </w:tc>
        <w:tc>
          <w:tcPr>
            <w:tcW w:w="945"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CEPT T/R 25-08 – Sauszemes mobilā dienesta radiofrekvenču plānošana un koordinācija 29,7–921 MHz joslā</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Dzelzceļa sakari. Dupleksie kanāli (ML: 457,5875–458,1125 MHz) </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LM.450-4</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Privātie elektronisko sakaru tīkli</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shd w:val="clear" w:color="auto" w:fill="auto"/>
            <w:hideMark/>
          </w:tcPr>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Ciparu PMR/FB: 468,1125–469,4250 MHz; 469,6750-470 MHz</w:t>
            </w:r>
          </w:p>
        </w:tc>
        <w:tc>
          <w:tcPr>
            <w:tcW w:w="945" w:type="pct"/>
            <w:tcBorders>
              <w:top w:val="outset" w:sz="6" w:space="0" w:color="auto"/>
              <w:left w:val="outset" w:sz="6" w:space="0" w:color="auto"/>
              <w:bottom w:val="outset" w:sz="6" w:space="0" w:color="auto"/>
              <w:right w:val="outset" w:sz="6" w:space="0" w:color="auto"/>
            </w:tcBorders>
            <w:shd w:val="clear" w:color="auto" w:fill="auto"/>
            <w:hideMark/>
          </w:tcPr>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 xml:space="preserve">CEPT T/R 25-08 – Sauszemes mobilā dienesta radiofrekvenču plānošana un koordinācija 29,7–470 MHz joslā </w:t>
            </w:r>
          </w:p>
          <w:p w:rsidR="004075A0" w:rsidRPr="00F46CB3" w:rsidRDefault="004075A0" w:rsidP="0043732C">
            <w:pPr>
              <w:spacing w:before="100" w:beforeAutospacing="1" w:after="100" w:afterAutospacing="1" w:line="240" w:lineRule="auto"/>
              <w:jc w:val="both"/>
              <w:rPr>
                <w:rFonts w:eastAsia="Times New Roman" w:cs="Times New Roman"/>
                <w:sz w:val="20"/>
                <w:szCs w:val="20"/>
              </w:rPr>
            </w:pPr>
            <w:r w:rsidRPr="00F46CB3">
              <w:rPr>
                <w:rFonts w:eastAsia="Times New Roman" w:cs="Times New Roman"/>
                <w:sz w:val="20"/>
                <w:szCs w:val="20"/>
              </w:rPr>
              <w:t>ECC/DEC/(06)06 – ECC 2006. gada 7. jūlija lēmums par radiofrekvenču joslu pieejamību 80 MHz, 160 MHz un 400 MHz diapazonos šaurjoslas sauszemes mobilo ciparu PMR/PAMR sistēmu ieviešanai</w:t>
            </w:r>
          </w:p>
        </w:tc>
        <w:tc>
          <w:tcPr>
            <w:tcW w:w="1526" w:type="pct"/>
            <w:tcBorders>
              <w:top w:val="outset" w:sz="6" w:space="0" w:color="auto"/>
              <w:left w:val="outset" w:sz="6" w:space="0" w:color="auto"/>
              <w:bottom w:val="outset" w:sz="6" w:space="0" w:color="auto"/>
              <w:right w:val="outset" w:sz="6" w:space="0" w:color="auto"/>
            </w:tcBorders>
            <w:shd w:val="clear" w:color="auto" w:fill="auto"/>
            <w:hideMark/>
          </w:tcPr>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 xml:space="preserve">Šaurjoslas sistēmas </w:t>
            </w:r>
          </w:p>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Dupleksie kanāli (ML: 458,1125–459,4250 MHz; 459,6750-460 MHz)</w:t>
            </w:r>
          </w:p>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Radiosaskarne RS LM.450-3</w:t>
            </w:r>
          </w:p>
          <w:p w:rsidR="004075A0" w:rsidRPr="00F46CB3" w:rsidRDefault="004075A0" w:rsidP="0043732C">
            <w:pPr>
              <w:spacing w:after="0" w:line="240" w:lineRule="auto"/>
              <w:jc w:val="both"/>
              <w:rPr>
                <w:rFonts w:eastAsia="Times New Roman" w:cs="Times New Roman"/>
                <w:sz w:val="20"/>
                <w:szCs w:val="20"/>
              </w:rPr>
            </w:pPr>
            <w:r w:rsidRPr="00F46CB3">
              <w:rPr>
                <w:rFonts w:eastAsia="Times New Roman" w:cs="Times New Roman"/>
                <w:sz w:val="20"/>
                <w:szCs w:val="20"/>
              </w:rPr>
              <w:t>Privātie elektronisko sakaru tīkli</w:t>
            </w:r>
          </w:p>
        </w:tc>
      </w:tr>
      <w:tr w:rsidR="00F700DE" w:rsidRPr="004075A0" w:rsidTr="00C10920">
        <w:trPr>
          <w:gridBefore w:val="1"/>
          <w:wBefore w:w="7" w:type="pct"/>
          <w:tblCellSpacing w:w="15" w:type="dxa"/>
        </w:trPr>
        <w:tc>
          <w:tcPr>
            <w:tcW w:w="0" w:type="auto"/>
            <w:gridSpan w:val="2"/>
            <w:vMerge/>
            <w:tcBorders>
              <w:top w:val="nil"/>
              <w:left w:val="nil"/>
              <w:bottom w:val="nil"/>
              <w:right w:val="nil"/>
            </w:tcBorders>
            <w:vAlign w:val="center"/>
            <w:hideMark/>
          </w:tcPr>
          <w:p w:rsidR="004075A0" w:rsidRPr="004075A0" w:rsidRDefault="004075A0" w:rsidP="0043732C">
            <w:pPr>
              <w:spacing w:after="0"/>
              <w:jc w:val="both"/>
              <w:rPr>
                <w:rFonts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075A0" w:rsidRPr="004075A0" w:rsidRDefault="004075A0" w:rsidP="0043732C">
            <w:pPr>
              <w:spacing w:after="0"/>
              <w:jc w:val="both"/>
              <w:rPr>
                <w:rFonts w:eastAsia="Times New Roman" w:cs="Times New Roman"/>
                <w:sz w:val="20"/>
                <w:szCs w:val="20"/>
              </w:rPr>
            </w:pPr>
          </w:p>
        </w:tc>
        <w:tc>
          <w:tcPr>
            <w:tcW w:w="519"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Ciparu PMR: 469,4250–469,6750 MHz</w:t>
            </w:r>
          </w:p>
        </w:tc>
        <w:tc>
          <w:tcPr>
            <w:tcW w:w="945" w:type="pct"/>
            <w:tcBorders>
              <w:top w:val="outset" w:sz="6" w:space="0" w:color="auto"/>
              <w:left w:val="outset" w:sz="6" w:space="0" w:color="auto"/>
              <w:bottom w:val="outset" w:sz="6" w:space="0" w:color="auto"/>
              <w:right w:val="outset" w:sz="6" w:space="0" w:color="auto"/>
            </w:tcBorders>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 xml:space="preserve">CEPT T/R 25-08 – Sauszemes mobilā dienesta radiofrekvenču plānošana un koordinācija 29,7–470 MHz joslā </w:t>
            </w:r>
          </w:p>
        </w:tc>
        <w:tc>
          <w:tcPr>
            <w:tcW w:w="1526" w:type="pct"/>
            <w:tcBorders>
              <w:top w:val="outset" w:sz="6" w:space="0" w:color="auto"/>
              <w:left w:val="outset" w:sz="6" w:space="0" w:color="auto"/>
              <w:bottom w:val="outset" w:sz="6" w:space="0" w:color="auto"/>
              <w:right w:val="outset" w:sz="6" w:space="0" w:color="auto"/>
            </w:tcBorders>
            <w:hideMark/>
          </w:tcPr>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Datu pārraides tīkli</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Dupleksie kanāli: 459,4250-459,6750 MHz</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Radiosaskarne RS LM. LM.450-4</w:t>
            </w:r>
          </w:p>
          <w:p w:rsidR="004075A0" w:rsidRPr="004075A0" w:rsidRDefault="004075A0" w:rsidP="0043732C">
            <w:pPr>
              <w:spacing w:after="0" w:line="240" w:lineRule="auto"/>
              <w:jc w:val="both"/>
              <w:rPr>
                <w:rFonts w:eastAsia="Times New Roman" w:cs="Times New Roman"/>
                <w:sz w:val="20"/>
                <w:szCs w:val="20"/>
              </w:rPr>
            </w:pPr>
            <w:r w:rsidRPr="004075A0">
              <w:rPr>
                <w:rFonts w:eastAsia="Times New Roman" w:cs="Times New Roman"/>
                <w:sz w:val="20"/>
                <w:szCs w:val="20"/>
              </w:rPr>
              <w:t>Privātie elektronisko sakaru tīkli</w:t>
            </w:r>
          </w:p>
        </w:tc>
      </w:tr>
    </w:tbl>
    <w:p w:rsidR="004075A0" w:rsidRPr="00212697" w:rsidRDefault="00D6181C" w:rsidP="0043732C">
      <w:pPr>
        <w:jc w:val="both"/>
        <w:rPr>
          <w:rFonts w:cs="Times New Roman"/>
          <w:bCs/>
          <w:szCs w:val="28"/>
        </w:rPr>
      </w:pPr>
      <w:r w:rsidRPr="00212697">
        <w:rPr>
          <w:rFonts w:cs="Times New Roman"/>
          <w:bCs/>
          <w:szCs w:val="28"/>
        </w:rPr>
        <w:t>”.</w:t>
      </w:r>
    </w:p>
    <w:p w:rsidR="00B1177D" w:rsidRPr="004075A0" w:rsidRDefault="00B1177D" w:rsidP="0043732C">
      <w:pPr>
        <w:jc w:val="both"/>
        <w:rPr>
          <w:rFonts w:cs="Times New Roman"/>
          <w:bCs/>
          <w:sz w:val="20"/>
          <w:szCs w:val="20"/>
        </w:rPr>
      </w:pPr>
    </w:p>
    <w:p w:rsidR="00BB27A0" w:rsidRPr="007C04F6" w:rsidRDefault="00BB27A0" w:rsidP="0043732C">
      <w:pPr>
        <w:pStyle w:val="ListParagraph"/>
        <w:numPr>
          <w:ilvl w:val="0"/>
          <w:numId w:val="2"/>
        </w:numPr>
        <w:jc w:val="both"/>
        <w:rPr>
          <w:rFonts w:cs="Times New Roman"/>
          <w:bCs/>
          <w:szCs w:val="28"/>
        </w:rPr>
      </w:pPr>
      <w:r w:rsidRPr="007C04F6">
        <w:rPr>
          <w:rFonts w:cs="Times New Roman"/>
          <w:bCs/>
          <w:szCs w:val="28"/>
        </w:rPr>
        <w:t>Izteikt 1.</w:t>
      </w:r>
      <w:r w:rsidR="00915A10" w:rsidRPr="007C04F6">
        <w:rPr>
          <w:rFonts w:cs="Times New Roman"/>
          <w:bCs/>
          <w:szCs w:val="28"/>
        </w:rPr>
        <w:t> </w:t>
      </w:r>
      <w:r w:rsidRPr="007C04F6">
        <w:rPr>
          <w:rFonts w:cs="Times New Roman"/>
          <w:bCs/>
          <w:szCs w:val="28"/>
        </w:rPr>
        <w:t>pielikuma 240.</w:t>
      </w:r>
      <w:r w:rsidR="00915A10" w:rsidRPr="007C04F6">
        <w:rPr>
          <w:rFonts w:cs="Times New Roman"/>
          <w:bCs/>
          <w:szCs w:val="28"/>
        </w:rPr>
        <w:t> </w:t>
      </w:r>
      <w:r w:rsidRPr="007C04F6">
        <w:rPr>
          <w:rFonts w:cs="Times New Roman"/>
          <w:bCs/>
          <w:szCs w:val="28"/>
        </w:rPr>
        <w:t>punktu šādā redakcijā:</w:t>
      </w:r>
    </w:p>
    <w:p w:rsidR="00BB27A0" w:rsidRPr="00212697" w:rsidRDefault="00915A10" w:rsidP="0043732C">
      <w:pPr>
        <w:spacing w:after="0"/>
        <w:jc w:val="both"/>
        <w:rPr>
          <w:rFonts w:cs="Times New Roman"/>
          <w:bCs/>
          <w:szCs w:val="28"/>
        </w:rPr>
      </w:pPr>
      <w:r w:rsidRPr="00212697">
        <w:rPr>
          <w:rFonts w:cs="Times New Roman"/>
          <w:bCs/>
          <w:szCs w:val="28"/>
        </w:rPr>
        <w:t>“</w:t>
      </w:r>
    </w:p>
    <w:tbl>
      <w:tblPr>
        <w:tblW w:w="5467"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10"/>
        <w:gridCol w:w="1548"/>
        <w:gridCol w:w="1555"/>
        <w:gridCol w:w="1309"/>
        <w:gridCol w:w="2542"/>
        <w:gridCol w:w="1700"/>
      </w:tblGrid>
      <w:tr w:rsidR="00F964E5" w:rsidRPr="00F964E5" w:rsidTr="00812918">
        <w:tc>
          <w:tcPr>
            <w:tcW w:w="226" w:type="pct"/>
            <w:tcBorders>
              <w:top w:val="outset" w:sz="6" w:space="0" w:color="414142"/>
              <w:left w:val="outset" w:sz="6" w:space="0" w:color="414142"/>
              <w:bottom w:val="outset" w:sz="6" w:space="0" w:color="414142"/>
              <w:right w:val="outset" w:sz="6" w:space="0" w:color="414142"/>
            </w:tcBorders>
            <w:shd w:val="clear" w:color="auto" w:fill="FFFFFF"/>
            <w:hideMark/>
          </w:tcPr>
          <w:p w:rsidR="00BB27A0" w:rsidRPr="00F964E5" w:rsidRDefault="00BB27A0" w:rsidP="0043732C">
            <w:pPr>
              <w:spacing w:after="0" w:line="240" w:lineRule="auto"/>
              <w:jc w:val="both"/>
              <w:rPr>
                <w:rFonts w:cs="Times New Roman"/>
                <w:sz w:val="20"/>
                <w:szCs w:val="20"/>
              </w:rPr>
            </w:pPr>
            <w:r w:rsidRPr="00F964E5">
              <w:rPr>
                <w:rFonts w:cs="Times New Roman"/>
                <w:sz w:val="20"/>
                <w:szCs w:val="20"/>
              </w:rPr>
              <w:t>240.</w:t>
            </w:r>
          </w:p>
        </w:tc>
        <w:tc>
          <w:tcPr>
            <w:tcW w:w="4774"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BB27A0" w:rsidRPr="00F964E5" w:rsidRDefault="00BB27A0" w:rsidP="0043732C">
            <w:pPr>
              <w:pStyle w:val="tvhtml"/>
              <w:spacing w:before="0" w:beforeAutospacing="0" w:after="0" w:afterAutospacing="0"/>
              <w:jc w:val="both"/>
              <w:rPr>
                <w:b/>
                <w:bCs/>
                <w:sz w:val="20"/>
                <w:szCs w:val="20"/>
              </w:rPr>
            </w:pPr>
            <w:r w:rsidRPr="00F964E5">
              <w:rPr>
                <w:b/>
                <w:bCs/>
                <w:sz w:val="20"/>
                <w:szCs w:val="20"/>
              </w:rPr>
              <w:t>470–694 MHz</w:t>
            </w:r>
          </w:p>
        </w:tc>
      </w:tr>
      <w:tr w:rsidR="00812918" w:rsidRPr="004075A0" w:rsidTr="00812918">
        <w:tc>
          <w:tcPr>
            <w:tcW w:w="226" w:type="pct"/>
            <w:vMerge w:val="restart"/>
            <w:tcBorders>
              <w:top w:val="outset" w:sz="6" w:space="0" w:color="414142"/>
              <w:left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p>
        </w:tc>
        <w:tc>
          <w:tcPr>
            <w:tcW w:w="854" w:type="pct"/>
            <w:vMerge w:val="restart"/>
            <w:tcBorders>
              <w:top w:val="outset" w:sz="6" w:space="0" w:color="414142"/>
              <w:left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APRAIDES</w:t>
            </w:r>
          </w:p>
          <w:p w:rsidR="00BB27A0" w:rsidRPr="004075A0" w:rsidRDefault="00BB27A0" w:rsidP="0043732C">
            <w:pPr>
              <w:spacing w:after="0" w:line="240" w:lineRule="auto"/>
              <w:jc w:val="both"/>
              <w:rPr>
                <w:rFonts w:cs="Times New Roman"/>
                <w:sz w:val="20"/>
                <w:szCs w:val="20"/>
              </w:rPr>
            </w:pPr>
          </w:p>
          <w:p w:rsidR="00BB27A0" w:rsidRPr="004075A0" w:rsidRDefault="00BB27A0" w:rsidP="0043732C">
            <w:pPr>
              <w:pStyle w:val="tvhtml"/>
              <w:spacing w:before="0" w:beforeAutospacing="0" w:after="0" w:afterAutospacing="0"/>
              <w:jc w:val="both"/>
              <w:rPr>
                <w:sz w:val="20"/>
                <w:szCs w:val="20"/>
              </w:rPr>
            </w:pPr>
            <w:r w:rsidRPr="004075A0">
              <w:rPr>
                <w:sz w:val="20"/>
                <w:szCs w:val="20"/>
              </w:rPr>
              <w:t>5.149 5.291A</w:t>
            </w:r>
          </w:p>
          <w:p w:rsidR="00BB27A0" w:rsidRPr="004075A0" w:rsidRDefault="00BB27A0" w:rsidP="0043732C">
            <w:pPr>
              <w:pStyle w:val="tvhtml"/>
              <w:spacing w:before="0" w:beforeAutospacing="0" w:after="0" w:afterAutospacing="0"/>
              <w:jc w:val="both"/>
              <w:rPr>
                <w:sz w:val="20"/>
                <w:szCs w:val="20"/>
              </w:rPr>
            </w:pPr>
            <w:r w:rsidRPr="004075A0">
              <w:rPr>
                <w:sz w:val="20"/>
                <w:szCs w:val="20"/>
              </w:rPr>
              <w:t>5.294 5.296</w:t>
            </w:r>
          </w:p>
          <w:p w:rsidR="00BB27A0" w:rsidRPr="004075A0" w:rsidRDefault="00BB27A0" w:rsidP="0043732C">
            <w:pPr>
              <w:pStyle w:val="tvhtml"/>
              <w:spacing w:before="0" w:beforeAutospacing="0" w:after="0" w:afterAutospacing="0"/>
              <w:jc w:val="both"/>
              <w:rPr>
                <w:sz w:val="20"/>
                <w:szCs w:val="20"/>
              </w:rPr>
            </w:pPr>
            <w:r w:rsidRPr="004075A0">
              <w:rPr>
                <w:sz w:val="20"/>
                <w:szCs w:val="20"/>
              </w:rPr>
              <w:t xml:space="preserve">5.300 </w:t>
            </w:r>
          </w:p>
          <w:p w:rsidR="00BB27A0" w:rsidRPr="004075A0" w:rsidRDefault="00BB27A0" w:rsidP="0043732C">
            <w:pPr>
              <w:pStyle w:val="tvhtml"/>
              <w:spacing w:before="0" w:beforeAutospacing="0" w:after="0" w:afterAutospacing="0"/>
              <w:jc w:val="both"/>
              <w:rPr>
                <w:sz w:val="20"/>
                <w:szCs w:val="20"/>
              </w:rPr>
            </w:pPr>
            <w:r w:rsidRPr="004075A0">
              <w:rPr>
                <w:sz w:val="20"/>
                <w:szCs w:val="20"/>
              </w:rPr>
              <w:t>5.304 5.306</w:t>
            </w:r>
          </w:p>
          <w:p w:rsidR="00BB27A0" w:rsidRPr="004075A0" w:rsidRDefault="00BB27A0" w:rsidP="0043732C">
            <w:pPr>
              <w:pStyle w:val="tvhtml"/>
              <w:spacing w:before="0" w:beforeAutospacing="0" w:after="0" w:afterAutospacing="0"/>
              <w:jc w:val="both"/>
              <w:rPr>
                <w:sz w:val="20"/>
                <w:szCs w:val="20"/>
              </w:rPr>
            </w:pPr>
            <w:r w:rsidRPr="004075A0">
              <w:rPr>
                <w:sz w:val="20"/>
                <w:szCs w:val="20"/>
              </w:rPr>
              <w:t>5.311A 5.312</w:t>
            </w:r>
          </w:p>
        </w:tc>
        <w:tc>
          <w:tcPr>
            <w:tcW w:w="858" w:type="pct"/>
            <w:vMerge w:val="restart"/>
            <w:tcBorders>
              <w:top w:val="outset" w:sz="6" w:space="0" w:color="414142"/>
              <w:left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APRAIDES</w:t>
            </w:r>
          </w:p>
          <w:p w:rsidR="00BB27A0" w:rsidRPr="004075A0" w:rsidRDefault="00BB27A0" w:rsidP="0043732C">
            <w:pPr>
              <w:spacing w:after="0" w:line="240" w:lineRule="auto"/>
              <w:jc w:val="both"/>
              <w:rPr>
                <w:rFonts w:cs="Times New Roman"/>
                <w:sz w:val="20"/>
                <w:szCs w:val="20"/>
              </w:rPr>
            </w:pPr>
          </w:p>
          <w:p w:rsidR="00BB27A0" w:rsidRPr="004075A0" w:rsidRDefault="00BB27A0" w:rsidP="0043732C">
            <w:pPr>
              <w:pStyle w:val="tvhtml"/>
              <w:spacing w:before="0" w:beforeAutospacing="0" w:after="0" w:afterAutospacing="0"/>
              <w:jc w:val="both"/>
              <w:rPr>
                <w:sz w:val="20"/>
                <w:szCs w:val="20"/>
              </w:rPr>
            </w:pPr>
            <w:r w:rsidRPr="004075A0">
              <w:rPr>
                <w:sz w:val="20"/>
                <w:szCs w:val="20"/>
              </w:rPr>
              <w:t>5.149 5.306</w:t>
            </w:r>
          </w:p>
          <w:p w:rsidR="00BB27A0" w:rsidRPr="004075A0" w:rsidRDefault="00BB27A0" w:rsidP="0043732C">
            <w:pPr>
              <w:pStyle w:val="tvhtml"/>
              <w:spacing w:before="0" w:beforeAutospacing="0" w:after="0" w:afterAutospacing="0"/>
              <w:jc w:val="both"/>
              <w:rPr>
                <w:sz w:val="20"/>
                <w:szCs w:val="20"/>
              </w:rPr>
            </w:pPr>
            <w:r w:rsidRPr="004075A0">
              <w:rPr>
                <w:sz w:val="20"/>
                <w:szCs w:val="20"/>
              </w:rPr>
              <w:t>5.311A 5.296</w:t>
            </w:r>
          </w:p>
        </w:tc>
        <w:tc>
          <w:tcPr>
            <w:tcW w:w="722" w:type="pct"/>
            <w:tcBorders>
              <w:top w:val="outset" w:sz="6" w:space="0" w:color="414142"/>
              <w:left w:val="outset" w:sz="6" w:space="0" w:color="414142"/>
              <w:bottom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 xml:space="preserve">Televīzijas apraides sistēmas </w:t>
            </w:r>
          </w:p>
        </w:tc>
        <w:tc>
          <w:tcPr>
            <w:tcW w:w="1402" w:type="pct"/>
            <w:tcBorders>
              <w:top w:val="outset" w:sz="6" w:space="0" w:color="414142"/>
              <w:left w:val="outset" w:sz="6" w:space="0" w:color="414142"/>
              <w:bottom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Starptautiskās telekomunikāciju savienības Reģionālais nolīgums par zemes ciparu apraides dienesta plānošanu 1.reģionā (1.reģiona daļas, kas atrodas uz rietumiem no 170° E meridiāna un uz ziemeļiem no 40° S paralēles, izņemot Mongolijas teritoriju), un Irānas Islāma Republikā 174–230 MHz un 470–862 MHz frekvenču joslā (Ženēva, 2006)</w:t>
            </w:r>
          </w:p>
        </w:tc>
        <w:tc>
          <w:tcPr>
            <w:tcW w:w="938" w:type="pct"/>
            <w:tcBorders>
              <w:top w:val="outset" w:sz="6" w:space="0" w:color="414142"/>
              <w:left w:val="outset" w:sz="6" w:space="0" w:color="414142"/>
              <w:bottom w:val="outset" w:sz="6" w:space="0" w:color="414142"/>
              <w:right w:val="outset" w:sz="6" w:space="0" w:color="414142"/>
            </w:tcBorders>
            <w:shd w:val="clear" w:color="auto" w:fill="FFFFFF"/>
            <w:hideMark/>
          </w:tcPr>
          <w:p w:rsidR="00BB27A0" w:rsidRPr="004075A0" w:rsidRDefault="00BB27A0" w:rsidP="0043732C">
            <w:pPr>
              <w:spacing w:after="0" w:line="240" w:lineRule="auto"/>
              <w:jc w:val="both"/>
              <w:rPr>
                <w:rFonts w:cs="Times New Roman"/>
                <w:sz w:val="20"/>
                <w:szCs w:val="20"/>
              </w:rPr>
            </w:pPr>
          </w:p>
        </w:tc>
      </w:tr>
      <w:tr w:rsidR="00027EBD" w:rsidRPr="004075A0" w:rsidDel="0097236A" w:rsidTr="00812918">
        <w:tc>
          <w:tcPr>
            <w:tcW w:w="226" w:type="pct"/>
            <w:vMerge/>
            <w:tcBorders>
              <w:left w:val="outset" w:sz="6" w:space="0" w:color="414142"/>
              <w:right w:val="outset" w:sz="6" w:space="0" w:color="414142"/>
            </w:tcBorders>
            <w:shd w:val="clear" w:color="auto" w:fill="FFFFFF"/>
          </w:tcPr>
          <w:p w:rsidR="00BB27A0" w:rsidRPr="004075A0" w:rsidRDefault="00BB27A0" w:rsidP="0043732C">
            <w:pPr>
              <w:spacing w:after="0" w:line="240" w:lineRule="auto"/>
              <w:jc w:val="both"/>
              <w:rPr>
                <w:rFonts w:cs="Times New Roman"/>
                <w:sz w:val="20"/>
                <w:szCs w:val="20"/>
              </w:rPr>
            </w:pPr>
          </w:p>
        </w:tc>
        <w:tc>
          <w:tcPr>
            <w:tcW w:w="854" w:type="pct"/>
            <w:vMerge/>
            <w:tcBorders>
              <w:left w:val="outset" w:sz="6" w:space="0" w:color="414142"/>
              <w:right w:val="outset" w:sz="6" w:space="0" w:color="414142"/>
            </w:tcBorders>
            <w:shd w:val="clear" w:color="auto" w:fill="FFFFFF"/>
          </w:tcPr>
          <w:p w:rsidR="00BB27A0" w:rsidRPr="004075A0" w:rsidRDefault="00BB27A0" w:rsidP="0043732C">
            <w:pPr>
              <w:spacing w:after="0" w:line="240" w:lineRule="auto"/>
              <w:jc w:val="both"/>
              <w:rPr>
                <w:rFonts w:cs="Times New Roman"/>
                <w:sz w:val="20"/>
                <w:szCs w:val="20"/>
              </w:rPr>
            </w:pPr>
          </w:p>
        </w:tc>
        <w:tc>
          <w:tcPr>
            <w:tcW w:w="858" w:type="pct"/>
            <w:vMerge/>
            <w:tcBorders>
              <w:left w:val="outset" w:sz="6" w:space="0" w:color="414142"/>
              <w:right w:val="outset" w:sz="6" w:space="0" w:color="414142"/>
            </w:tcBorders>
            <w:shd w:val="clear" w:color="auto" w:fill="FFFFFF"/>
          </w:tcPr>
          <w:p w:rsidR="00BB27A0" w:rsidRPr="004075A0" w:rsidRDefault="00BB27A0" w:rsidP="0043732C">
            <w:pPr>
              <w:spacing w:after="0" w:line="240" w:lineRule="auto"/>
              <w:jc w:val="both"/>
              <w:rPr>
                <w:rFonts w:cs="Times New Roman"/>
                <w:sz w:val="20"/>
                <w:szCs w:val="20"/>
              </w:rPr>
            </w:pPr>
          </w:p>
        </w:tc>
        <w:tc>
          <w:tcPr>
            <w:tcW w:w="722" w:type="pct"/>
            <w:tcBorders>
              <w:top w:val="outset" w:sz="6" w:space="0" w:color="414142"/>
              <w:left w:val="outset" w:sz="6" w:space="0" w:color="414142"/>
              <w:bottom w:val="outset" w:sz="6" w:space="0" w:color="414142"/>
              <w:right w:val="outset" w:sz="6" w:space="0" w:color="414142"/>
            </w:tcBorders>
            <w:shd w:val="clear" w:color="auto" w:fill="FFFFFF"/>
          </w:tcPr>
          <w:p w:rsidR="00BB27A0" w:rsidRPr="004075A0" w:rsidDel="0097236A" w:rsidRDefault="00BB27A0" w:rsidP="0043732C">
            <w:pPr>
              <w:spacing w:after="0" w:line="240" w:lineRule="auto"/>
              <w:jc w:val="both"/>
              <w:rPr>
                <w:rFonts w:cs="Times New Roman"/>
                <w:sz w:val="20"/>
                <w:szCs w:val="20"/>
              </w:rPr>
            </w:pPr>
            <w:r w:rsidRPr="004075A0">
              <w:rPr>
                <w:rFonts w:cs="Times New Roman"/>
                <w:sz w:val="20"/>
                <w:szCs w:val="20"/>
              </w:rPr>
              <w:t>SRD</w:t>
            </w:r>
          </w:p>
        </w:tc>
        <w:tc>
          <w:tcPr>
            <w:tcW w:w="1402" w:type="pct"/>
            <w:tcBorders>
              <w:top w:val="outset" w:sz="6" w:space="0" w:color="414142"/>
              <w:left w:val="outset" w:sz="6" w:space="0" w:color="414142"/>
              <w:bottom w:val="outset" w:sz="6" w:space="0" w:color="414142"/>
              <w:right w:val="outset" w:sz="6" w:space="0" w:color="414142"/>
            </w:tcBorders>
            <w:shd w:val="clear" w:color="auto" w:fill="FFFFFF"/>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Komisijas 2014. gada 1. septembra Lēmums </w:t>
            </w:r>
            <w:hyperlink r:id="rId7" w:tgtFrame="_blank" w:history="1">
              <w:r w:rsidRPr="004075A0">
                <w:rPr>
                  <w:rStyle w:val="Hyperlink"/>
                  <w:rFonts w:cs="Times New Roman"/>
                  <w:color w:val="auto"/>
                  <w:sz w:val="20"/>
                  <w:szCs w:val="20"/>
                </w:rPr>
                <w:t>2014/641/ES</w:t>
              </w:r>
            </w:hyperlink>
            <w:r w:rsidRPr="004075A0">
              <w:rPr>
                <w:rFonts w:cs="Times New Roman"/>
                <w:sz w:val="20"/>
                <w:szCs w:val="20"/>
              </w:rPr>
              <w:t> par harmonizētajiem tehniskajiem nosacījumiem radiofrekvenču spektra izmantošanai programmu gatavošanas un īpašo pasākumu bezvadu skaņas iekārtās Savienībā</w:t>
            </w:r>
          </w:p>
          <w:p w:rsidR="00BB27A0" w:rsidRPr="004075A0" w:rsidRDefault="00BB27A0" w:rsidP="0043732C">
            <w:pPr>
              <w:spacing w:after="0" w:line="240" w:lineRule="auto"/>
              <w:jc w:val="both"/>
              <w:rPr>
                <w:rFonts w:cs="Times New Roman"/>
                <w:sz w:val="20"/>
                <w:szCs w:val="20"/>
              </w:rPr>
            </w:pPr>
          </w:p>
          <w:p w:rsidR="00BB27A0" w:rsidRPr="004075A0" w:rsidRDefault="00BB27A0" w:rsidP="0043732C">
            <w:pPr>
              <w:pStyle w:val="tvhtml"/>
              <w:spacing w:before="0" w:beforeAutospacing="0" w:after="0" w:afterAutospacing="0"/>
              <w:jc w:val="both"/>
              <w:rPr>
                <w:sz w:val="20"/>
                <w:szCs w:val="20"/>
              </w:rPr>
            </w:pPr>
            <w:r w:rsidRPr="004075A0">
              <w:rPr>
                <w:sz w:val="20"/>
                <w:szCs w:val="20"/>
              </w:rPr>
              <w:t>ERC/REC 70-03 – Par maza darbības attāluma ierīču (SRD) lietošanu</w:t>
            </w:r>
          </w:p>
          <w:p w:rsidR="00BB27A0" w:rsidRPr="004075A0" w:rsidDel="00F65DE1" w:rsidRDefault="00BB27A0" w:rsidP="0043732C">
            <w:pPr>
              <w:pStyle w:val="tvhtml"/>
              <w:spacing w:after="0"/>
              <w:jc w:val="both"/>
              <w:rPr>
                <w:sz w:val="20"/>
                <w:szCs w:val="20"/>
              </w:rPr>
            </w:pPr>
            <w:r w:rsidRPr="004075A0">
              <w:rPr>
                <w:sz w:val="20"/>
                <w:szCs w:val="20"/>
              </w:rPr>
              <w:t>ERC/REC 25-10 – Radiofrekvenču joslas skaņas un video SAP/SAB pagaidu līnijām (ieskaitot ENG/OB)</w:t>
            </w:r>
          </w:p>
        </w:tc>
        <w:tc>
          <w:tcPr>
            <w:tcW w:w="938" w:type="pct"/>
            <w:tcBorders>
              <w:top w:val="outset" w:sz="6" w:space="0" w:color="414142"/>
              <w:left w:val="outset" w:sz="6" w:space="0" w:color="414142"/>
              <w:bottom w:val="outset" w:sz="6" w:space="0" w:color="414142"/>
              <w:right w:val="outset" w:sz="6" w:space="0" w:color="414142"/>
            </w:tcBorders>
            <w:shd w:val="clear" w:color="auto" w:fill="FFFFFF"/>
          </w:tcPr>
          <w:p w:rsidR="00BB27A0" w:rsidRPr="004075A0" w:rsidRDefault="00BB27A0" w:rsidP="0043732C">
            <w:pPr>
              <w:spacing w:after="0" w:line="240" w:lineRule="auto"/>
              <w:jc w:val="both"/>
              <w:rPr>
                <w:rFonts w:cs="Times New Roman"/>
                <w:sz w:val="20"/>
                <w:szCs w:val="20"/>
              </w:rPr>
            </w:pPr>
            <w:r w:rsidRPr="004075A0">
              <w:rPr>
                <w:rFonts w:cs="Times New Roman"/>
                <w:sz w:val="20"/>
                <w:szCs w:val="20"/>
              </w:rPr>
              <w:t>PMSE ierīces</w:t>
            </w:r>
          </w:p>
          <w:p w:rsidR="00BB27A0" w:rsidRPr="004075A0" w:rsidRDefault="00BB27A0" w:rsidP="0043732C">
            <w:pPr>
              <w:pStyle w:val="tvhtml"/>
              <w:spacing w:before="0" w:beforeAutospacing="0" w:after="0" w:afterAutospacing="0"/>
              <w:jc w:val="both"/>
              <w:rPr>
                <w:sz w:val="20"/>
                <w:szCs w:val="20"/>
              </w:rPr>
            </w:pPr>
            <w:r w:rsidRPr="004075A0">
              <w:rPr>
                <w:sz w:val="20"/>
                <w:szCs w:val="20"/>
              </w:rPr>
              <w:t>Radiosaskarne RS PMSE.01</w:t>
            </w:r>
          </w:p>
          <w:p w:rsidR="00BB27A0" w:rsidRPr="004075A0" w:rsidDel="0097236A" w:rsidRDefault="00BB27A0" w:rsidP="0043732C">
            <w:pPr>
              <w:spacing w:after="0" w:line="240" w:lineRule="auto"/>
              <w:jc w:val="both"/>
              <w:rPr>
                <w:rFonts w:cs="Times New Roman"/>
                <w:sz w:val="20"/>
                <w:szCs w:val="20"/>
              </w:rPr>
            </w:pPr>
          </w:p>
        </w:tc>
      </w:tr>
      <w:tr w:rsidR="00812918" w:rsidRPr="00B76F75" w:rsidDel="0097236A" w:rsidTr="00812918">
        <w:trPr>
          <w:trHeight w:val="982"/>
        </w:trPr>
        <w:tc>
          <w:tcPr>
            <w:tcW w:w="226" w:type="pct"/>
            <w:vMerge/>
            <w:tcBorders>
              <w:left w:val="outset" w:sz="6" w:space="0" w:color="414142"/>
              <w:right w:val="outset" w:sz="6" w:space="0" w:color="414142"/>
            </w:tcBorders>
            <w:shd w:val="clear" w:color="auto" w:fill="FFFFFF"/>
          </w:tcPr>
          <w:p w:rsidR="00BB27A0" w:rsidRPr="00B76F75" w:rsidRDefault="00BB27A0" w:rsidP="0043732C">
            <w:pPr>
              <w:spacing w:after="0" w:line="240" w:lineRule="auto"/>
              <w:jc w:val="both"/>
              <w:rPr>
                <w:rFonts w:cs="Times New Roman"/>
                <w:color w:val="414142"/>
                <w:sz w:val="20"/>
                <w:szCs w:val="20"/>
              </w:rPr>
            </w:pPr>
          </w:p>
        </w:tc>
        <w:tc>
          <w:tcPr>
            <w:tcW w:w="854" w:type="pct"/>
            <w:vMerge/>
            <w:tcBorders>
              <w:left w:val="outset" w:sz="6" w:space="0" w:color="414142"/>
              <w:right w:val="outset" w:sz="6" w:space="0" w:color="414142"/>
            </w:tcBorders>
            <w:shd w:val="clear" w:color="auto" w:fill="FFFFFF"/>
          </w:tcPr>
          <w:p w:rsidR="00BB27A0" w:rsidRPr="00B76F75" w:rsidRDefault="00BB27A0" w:rsidP="0043732C">
            <w:pPr>
              <w:spacing w:after="0" w:line="240" w:lineRule="auto"/>
              <w:jc w:val="both"/>
              <w:rPr>
                <w:rFonts w:cs="Times New Roman"/>
                <w:color w:val="414142"/>
                <w:sz w:val="20"/>
                <w:szCs w:val="20"/>
              </w:rPr>
            </w:pPr>
          </w:p>
        </w:tc>
        <w:tc>
          <w:tcPr>
            <w:tcW w:w="858" w:type="pct"/>
            <w:vMerge/>
            <w:tcBorders>
              <w:left w:val="outset" w:sz="6" w:space="0" w:color="414142"/>
              <w:right w:val="outset" w:sz="6" w:space="0" w:color="414142"/>
            </w:tcBorders>
            <w:shd w:val="clear" w:color="auto" w:fill="FFFFFF"/>
          </w:tcPr>
          <w:p w:rsidR="00BB27A0" w:rsidRPr="00B76F75" w:rsidRDefault="00BB27A0" w:rsidP="0043732C">
            <w:pPr>
              <w:spacing w:after="0" w:line="240" w:lineRule="auto"/>
              <w:jc w:val="both"/>
              <w:rPr>
                <w:rFonts w:cs="Times New Roman"/>
                <w:color w:val="414142"/>
                <w:sz w:val="20"/>
                <w:szCs w:val="20"/>
              </w:rPr>
            </w:pPr>
          </w:p>
        </w:tc>
        <w:tc>
          <w:tcPr>
            <w:tcW w:w="722" w:type="pct"/>
            <w:tcBorders>
              <w:top w:val="outset" w:sz="6" w:space="0" w:color="414142"/>
              <w:left w:val="outset" w:sz="6" w:space="0" w:color="414142"/>
              <w:right w:val="outset" w:sz="6" w:space="0" w:color="414142"/>
            </w:tcBorders>
            <w:shd w:val="clear" w:color="auto" w:fill="FFFFFF"/>
          </w:tcPr>
          <w:p w:rsidR="00BB27A0" w:rsidRPr="004075A0" w:rsidDel="0097236A" w:rsidRDefault="00BB27A0" w:rsidP="0043732C">
            <w:pPr>
              <w:spacing w:after="0" w:line="240" w:lineRule="auto"/>
              <w:jc w:val="both"/>
              <w:rPr>
                <w:rFonts w:cs="Times New Roman"/>
                <w:sz w:val="20"/>
                <w:szCs w:val="20"/>
              </w:rPr>
            </w:pPr>
            <w:r w:rsidRPr="004075A0" w:rsidDel="00C76BA6">
              <w:rPr>
                <w:rFonts w:cs="Times New Roman"/>
                <w:sz w:val="20"/>
                <w:szCs w:val="20"/>
              </w:rPr>
              <w:t>SAB/SAP</w:t>
            </w:r>
          </w:p>
        </w:tc>
        <w:tc>
          <w:tcPr>
            <w:tcW w:w="1402" w:type="pct"/>
            <w:tcBorders>
              <w:top w:val="outset" w:sz="6" w:space="0" w:color="414142"/>
              <w:left w:val="outset" w:sz="6" w:space="0" w:color="414142"/>
              <w:right w:val="outset" w:sz="6" w:space="0" w:color="414142"/>
            </w:tcBorders>
            <w:shd w:val="clear" w:color="auto" w:fill="FFFFFF"/>
          </w:tcPr>
          <w:p w:rsidR="00BB27A0" w:rsidRPr="004075A0" w:rsidDel="00F65DE1" w:rsidRDefault="00BB27A0" w:rsidP="0043732C">
            <w:pPr>
              <w:spacing w:after="0" w:line="240" w:lineRule="auto"/>
              <w:jc w:val="both"/>
              <w:rPr>
                <w:rFonts w:cs="Times New Roman"/>
                <w:sz w:val="20"/>
                <w:szCs w:val="20"/>
              </w:rPr>
            </w:pPr>
            <w:r w:rsidRPr="004075A0" w:rsidDel="00C76BA6">
              <w:rPr>
                <w:rFonts w:cs="Times New Roman"/>
                <w:sz w:val="20"/>
                <w:szCs w:val="20"/>
              </w:rPr>
              <w:t>ERC/REC 25-10 – Radiofrekvenču joslas skaņas un video SAP/SAB pagaidu līnijām (ieskaitot ENG/OB)</w:t>
            </w:r>
          </w:p>
        </w:tc>
        <w:tc>
          <w:tcPr>
            <w:tcW w:w="938" w:type="pct"/>
            <w:tcBorders>
              <w:top w:val="outset" w:sz="6" w:space="0" w:color="414142"/>
              <w:left w:val="outset" w:sz="6" w:space="0" w:color="414142"/>
              <w:right w:val="outset" w:sz="6" w:space="0" w:color="414142"/>
            </w:tcBorders>
            <w:shd w:val="clear" w:color="auto" w:fill="FFFFFF"/>
          </w:tcPr>
          <w:p w:rsidR="00BB27A0" w:rsidRPr="004075A0" w:rsidDel="0097236A" w:rsidRDefault="00BB27A0" w:rsidP="0043732C">
            <w:pPr>
              <w:spacing w:after="0" w:line="240" w:lineRule="auto"/>
              <w:jc w:val="both"/>
              <w:rPr>
                <w:rFonts w:cs="Times New Roman"/>
                <w:sz w:val="20"/>
                <w:szCs w:val="20"/>
              </w:rPr>
            </w:pPr>
            <w:r w:rsidRPr="004075A0" w:rsidDel="00C76BA6">
              <w:rPr>
                <w:rFonts w:cs="Times New Roman"/>
                <w:sz w:val="20"/>
                <w:szCs w:val="20"/>
              </w:rPr>
              <w:t>Skaņas un video signālu pārraides radiolīnijas</w:t>
            </w:r>
          </w:p>
        </w:tc>
      </w:tr>
    </w:tbl>
    <w:p w:rsidR="005615FB" w:rsidRPr="00212697" w:rsidRDefault="005615FB" w:rsidP="00222204">
      <w:pPr>
        <w:jc w:val="both"/>
        <w:rPr>
          <w:rFonts w:cs="Times New Roman"/>
          <w:color w:val="414142"/>
          <w:szCs w:val="28"/>
          <w:shd w:val="clear" w:color="auto" w:fill="FFFFFF"/>
        </w:rPr>
      </w:pPr>
      <w:r w:rsidRPr="00212697">
        <w:rPr>
          <w:rFonts w:cs="Times New Roman"/>
          <w:color w:val="414142"/>
          <w:szCs w:val="28"/>
          <w:shd w:val="clear" w:color="auto" w:fill="FFFFFF"/>
        </w:rPr>
        <w:t>”.</w:t>
      </w:r>
    </w:p>
    <w:p w:rsidR="00BB27A0" w:rsidRDefault="009A3741" w:rsidP="0043732C">
      <w:pPr>
        <w:pStyle w:val="ListParagraph"/>
        <w:numPr>
          <w:ilvl w:val="0"/>
          <w:numId w:val="2"/>
        </w:numPr>
        <w:jc w:val="both"/>
        <w:rPr>
          <w:rFonts w:cs="Times New Roman"/>
          <w:bCs/>
          <w:szCs w:val="28"/>
        </w:rPr>
      </w:pPr>
      <w:r w:rsidRPr="007C04F6">
        <w:rPr>
          <w:rFonts w:cs="Times New Roman"/>
          <w:bCs/>
          <w:szCs w:val="28"/>
        </w:rPr>
        <w:t>Papildināt 1. pielikumu ar 240.</w:t>
      </w:r>
      <w:r w:rsidRPr="007C04F6">
        <w:rPr>
          <w:rFonts w:cs="Times New Roman"/>
          <w:bCs/>
          <w:szCs w:val="28"/>
          <w:vertAlign w:val="superscript"/>
        </w:rPr>
        <w:t>1</w:t>
      </w:r>
      <w:r w:rsidRPr="007C04F6">
        <w:rPr>
          <w:rFonts w:cs="Times New Roman"/>
          <w:bCs/>
          <w:szCs w:val="28"/>
        </w:rPr>
        <w:t xml:space="preserve"> punktu šādā redakcijā:</w:t>
      </w:r>
    </w:p>
    <w:p w:rsidR="005615FB" w:rsidRPr="005615FB" w:rsidRDefault="005615FB" w:rsidP="0043732C">
      <w:pPr>
        <w:spacing w:after="0"/>
        <w:ind w:left="360"/>
        <w:jc w:val="both"/>
        <w:rPr>
          <w:rFonts w:cs="Times New Roman"/>
          <w:bCs/>
          <w:szCs w:val="28"/>
        </w:rPr>
      </w:pPr>
      <w:r>
        <w:rPr>
          <w:rFonts w:cs="Times New Roman"/>
          <w:bCs/>
          <w:szCs w:val="28"/>
        </w:rPr>
        <w:t>“</w:t>
      </w:r>
    </w:p>
    <w:tbl>
      <w:tblPr>
        <w:tblW w:w="5467"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5"/>
        <w:gridCol w:w="1528"/>
        <w:gridCol w:w="1537"/>
        <w:gridCol w:w="1605"/>
        <w:gridCol w:w="2284"/>
        <w:gridCol w:w="1635"/>
      </w:tblGrid>
      <w:tr w:rsidR="00E76B1A" w:rsidRPr="00E76B1A" w:rsidTr="005615FB">
        <w:tc>
          <w:tcPr>
            <w:tcW w:w="262" w:type="pct"/>
            <w:tcBorders>
              <w:top w:val="outset" w:sz="6" w:space="0" w:color="414142"/>
              <w:left w:val="outset" w:sz="6" w:space="0" w:color="414142"/>
              <w:bottom w:val="outset" w:sz="6" w:space="0" w:color="414142"/>
              <w:right w:val="outset" w:sz="6" w:space="0" w:color="414142"/>
            </w:tcBorders>
            <w:shd w:val="clear" w:color="auto" w:fill="FFFFFF"/>
            <w:hideMark/>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240.</w:t>
            </w:r>
            <w:r w:rsidRPr="00E76B1A">
              <w:rPr>
                <w:rFonts w:cs="Times New Roman"/>
                <w:sz w:val="20"/>
                <w:szCs w:val="20"/>
                <w:vertAlign w:val="superscript"/>
              </w:rPr>
              <w:t>1</w:t>
            </w:r>
          </w:p>
        </w:tc>
        <w:tc>
          <w:tcPr>
            <w:tcW w:w="4738"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3E1056" w:rsidRPr="00E76B1A" w:rsidRDefault="003E1056" w:rsidP="0043732C">
            <w:pPr>
              <w:pStyle w:val="tvhtml"/>
              <w:spacing w:before="0" w:beforeAutospacing="0" w:after="0" w:afterAutospacing="0"/>
              <w:jc w:val="both"/>
              <w:rPr>
                <w:b/>
                <w:bCs/>
                <w:sz w:val="20"/>
                <w:szCs w:val="20"/>
              </w:rPr>
            </w:pPr>
            <w:r w:rsidRPr="00E76B1A">
              <w:rPr>
                <w:b/>
                <w:bCs/>
                <w:sz w:val="20"/>
                <w:szCs w:val="20"/>
              </w:rPr>
              <w:t>694–790 MHz</w:t>
            </w:r>
          </w:p>
        </w:tc>
      </w:tr>
      <w:tr w:rsidR="003E1056" w:rsidRPr="003E1056" w:rsidTr="005615FB">
        <w:trPr>
          <w:trHeight w:val="1373"/>
        </w:trPr>
        <w:tc>
          <w:tcPr>
            <w:tcW w:w="262"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E1056" w:rsidRPr="003E1056" w:rsidRDefault="003E1056" w:rsidP="0043732C">
            <w:pPr>
              <w:spacing w:after="0" w:line="240" w:lineRule="auto"/>
              <w:jc w:val="both"/>
              <w:rPr>
                <w:rFonts w:cs="Times New Roman"/>
                <w:color w:val="414142"/>
                <w:sz w:val="20"/>
                <w:szCs w:val="20"/>
              </w:rPr>
            </w:pPr>
          </w:p>
        </w:tc>
        <w:tc>
          <w:tcPr>
            <w:tcW w:w="84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APRAIDES</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MOBILAIS, izņemot gaisa kuģniecības mobilo</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pStyle w:val="tvhtml"/>
              <w:spacing w:before="0" w:beforeAutospacing="0" w:after="0" w:afterAutospacing="0"/>
              <w:jc w:val="both"/>
              <w:rPr>
                <w:sz w:val="20"/>
                <w:szCs w:val="20"/>
              </w:rPr>
            </w:pPr>
            <w:r w:rsidRPr="00E76B1A">
              <w:rPr>
                <w:sz w:val="20"/>
                <w:szCs w:val="20"/>
              </w:rPr>
              <w:t xml:space="preserve">5.300 5.311A 5.312 </w:t>
            </w:r>
          </w:p>
          <w:p w:rsidR="003E1056" w:rsidRPr="00E76B1A" w:rsidRDefault="003E1056" w:rsidP="0043732C">
            <w:pPr>
              <w:pStyle w:val="tvhtml"/>
              <w:spacing w:before="0" w:beforeAutospacing="0" w:after="0" w:afterAutospacing="0"/>
              <w:jc w:val="both"/>
              <w:rPr>
                <w:sz w:val="20"/>
                <w:szCs w:val="20"/>
              </w:rPr>
            </w:pPr>
            <w:r w:rsidRPr="00E76B1A">
              <w:rPr>
                <w:sz w:val="20"/>
                <w:szCs w:val="20"/>
              </w:rPr>
              <w:lastRenderedPageBreak/>
              <w:t>5.312A 5.317A</w:t>
            </w:r>
          </w:p>
        </w:tc>
        <w:tc>
          <w:tcPr>
            <w:tcW w:w="848"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lastRenderedPageBreak/>
              <w:t>APRAIDES</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MOBILAIS, izņemot gaisa kuģniecības mobilo</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pStyle w:val="tvhtml"/>
              <w:spacing w:before="0" w:beforeAutospacing="0" w:after="0" w:afterAutospacing="0"/>
              <w:jc w:val="both"/>
              <w:rPr>
                <w:sz w:val="20"/>
                <w:szCs w:val="20"/>
              </w:rPr>
            </w:pPr>
            <w:r w:rsidRPr="00E76B1A">
              <w:rPr>
                <w:sz w:val="20"/>
                <w:szCs w:val="20"/>
              </w:rPr>
              <w:t>5.311A</w:t>
            </w:r>
          </w:p>
          <w:p w:rsidR="003E1056" w:rsidRPr="00E76B1A" w:rsidRDefault="003E1056" w:rsidP="0043732C">
            <w:pPr>
              <w:pStyle w:val="tvhtml"/>
              <w:spacing w:before="0" w:beforeAutospacing="0" w:after="0" w:afterAutospacing="0"/>
              <w:jc w:val="both"/>
              <w:rPr>
                <w:sz w:val="20"/>
                <w:szCs w:val="20"/>
              </w:rPr>
            </w:pPr>
            <w:r w:rsidRPr="00E76B1A">
              <w:rPr>
                <w:sz w:val="20"/>
                <w:szCs w:val="20"/>
              </w:rPr>
              <w:t>5.312A 5.317A</w:t>
            </w:r>
          </w:p>
        </w:tc>
        <w:tc>
          <w:tcPr>
            <w:tcW w:w="885"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Televīzijas apraides sistēmas</w:t>
            </w:r>
          </w:p>
        </w:tc>
        <w:tc>
          <w:tcPr>
            <w:tcW w:w="1260"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 xml:space="preserve">Starptautiskās telekomunikāciju savienības Reģionālais nolīgums par zemes ciparu apraides dienesta plānošanu 1.reģionā (1.reģiona daļas, kas atrodas uz rietumiem no 170° E meridiāna un uz </w:t>
            </w:r>
            <w:r w:rsidRPr="00E76B1A">
              <w:rPr>
                <w:rFonts w:cs="Times New Roman"/>
                <w:sz w:val="20"/>
                <w:szCs w:val="20"/>
              </w:rPr>
              <w:lastRenderedPageBreak/>
              <w:t>ziemeļiem no 40° S paralēles, izņemot Mongolijas teritoriju), un Irānas Islāma Republikā 174–230 MHz un 470–862 MHz frekvenču joslā (Ženēva, 2006)</w:t>
            </w:r>
          </w:p>
        </w:tc>
        <w:tc>
          <w:tcPr>
            <w:tcW w:w="901"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lastRenderedPageBreak/>
              <w:t>Noslēguma jautājumi, 52</w:t>
            </w:r>
            <w:r w:rsidR="00213421" w:rsidRPr="00E76B1A">
              <w:rPr>
                <w:rFonts w:cs="Times New Roman"/>
                <w:sz w:val="20"/>
                <w:szCs w:val="20"/>
              </w:rPr>
              <w:t>. </w:t>
            </w:r>
            <w:r w:rsidRPr="00E76B1A">
              <w:rPr>
                <w:rFonts w:cs="Times New Roman"/>
                <w:sz w:val="20"/>
                <w:szCs w:val="20"/>
              </w:rPr>
              <w:t>punkts</w:t>
            </w:r>
          </w:p>
        </w:tc>
      </w:tr>
      <w:tr w:rsidR="003E1056" w:rsidRPr="003E1056" w:rsidTr="005615FB">
        <w:tc>
          <w:tcPr>
            <w:tcW w:w="262" w:type="pct"/>
            <w:vMerge/>
            <w:tcBorders>
              <w:top w:val="outset" w:sz="6" w:space="0" w:color="414142"/>
              <w:left w:val="outset" w:sz="6" w:space="0" w:color="414142"/>
              <w:bottom w:val="outset" w:sz="6" w:space="0" w:color="414142"/>
              <w:right w:val="outset" w:sz="6" w:space="0" w:color="414142"/>
            </w:tcBorders>
            <w:shd w:val="clear" w:color="auto" w:fill="FFFFFF"/>
          </w:tcPr>
          <w:p w:rsidR="003E1056" w:rsidRPr="003E1056" w:rsidRDefault="003E1056" w:rsidP="0043732C">
            <w:pPr>
              <w:spacing w:after="0" w:line="240" w:lineRule="auto"/>
              <w:jc w:val="both"/>
              <w:rPr>
                <w:rFonts w:cs="Times New Roman"/>
                <w:color w:val="414142"/>
                <w:sz w:val="20"/>
                <w:szCs w:val="20"/>
              </w:rPr>
            </w:pPr>
          </w:p>
        </w:tc>
        <w:tc>
          <w:tcPr>
            <w:tcW w:w="843" w:type="pct"/>
            <w:vMerge/>
            <w:tcBorders>
              <w:top w:val="outset" w:sz="6" w:space="0" w:color="414142"/>
              <w:left w:val="outset" w:sz="6" w:space="0" w:color="414142"/>
              <w:bottom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p>
        </w:tc>
        <w:tc>
          <w:tcPr>
            <w:tcW w:w="848" w:type="pct"/>
            <w:vMerge/>
            <w:tcBorders>
              <w:top w:val="outset" w:sz="6" w:space="0" w:color="414142"/>
              <w:left w:val="outset" w:sz="6" w:space="0" w:color="414142"/>
              <w:bottom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p>
        </w:tc>
        <w:tc>
          <w:tcPr>
            <w:tcW w:w="885" w:type="pct"/>
            <w:tcBorders>
              <w:top w:val="outset" w:sz="6" w:space="0" w:color="414142"/>
              <w:left w:val="outset" w:sz="6" w:space="0" w:color="414142"/>
              <w:bottom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Zemes sistēmas, kas Savienībā spēj sniegt bezvadu platjoslas elektronisko sakaru pakalpojumus/IMT</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FDD/ML: 703-733 MHz</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FDD/FB: 758-788 MHz</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SDL/FB: 738-758 MHz</w:t>
            </w:r>
          </w:p>
        </w:tc>
        <w:tc>
          <w:tcPr>
            <w:tcW w:w="1260" w:type="pct"/>
            <w:tcBorders>
              <w:top w:val="outset" w:sz="6" w:space="0" w:color="414142"/>
              <w:left w:val="outset" w:sz="6" w:space="0" w:color="414142"/>
              <w:bottom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Komisijas 2016. gada 28. aprīļa Īstenošanas Lēmums (ES) 2016/687 par 694–790 MHz frekvenču joslas harmonizāciju tādu zemes sistēmu vajadzībām, kas Savienībā spēj sniegt bezvadu platjoslas elektronisko sakaru pakalpojumus, un elastīgai nacionālai izmantošanai</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Eiropas Parlamenta un Padomes 2017. gada 17. maija Lēmums (ES) 2017/899 par 470–790 MHz frekvenču joslas izmantošanu Savienībā</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ECC/DEC/(15)01 – ECC 2015. gada 6. marta Lēmums par harmonizētiem tehniskajiem nosacījumiem mobilo/fiksēto sakaru tīkliem (MFCN) 694–790 MHz joslā, ieskaitot radiofrekvenču sapāroto kanālu plānu (frekvenčdales duplekss 2x30 MHz) un izvēles radiofrekvenču nesapāroto kanālu plānu (Papildu lejuplīnija)</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ECC/DEC/(16)02 – ECC 2016. gada 17. jūnija Lēmums par harmonizētiem tehniskajiem nosacījumiem un frekvenču joslām Platjoslas sabiedrības drošības un katastrofu seku novēršanas (BB-PPDR) sistēmām</w:t>
            </w:r>
          </w:p>
        </w:tc>
        <w:tc>
          <w:tcPr>
            <w:tcW w:w="901" w:type="pct"/>
            <w:tcBorders>
              <w:top w:val="outset" w:sz="6" w:space="0" w:color="414142"/>
              <w:left w:val="outset" w:sz="6" w:space="0" w:color="414142"/>
              <w:bottom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Publiskie elektronisko sakaru tīkli</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Dupleksie kanāli:</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ML: 703-733 MHz</w:t>
            </w: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FB: 758-788 MHz</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FB (SDL): 738-758 MHz</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 xml:space="preserve">Radiosaskarne RS LM.700 </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 xml:space="preserve">Noslēguma jautājumi, </w:t>
            </w:r>
            <w:r w:rsidR="00213421" w:rsidRPr="00E76B1A">
              <w:rPr>
                <w:rFonts w:cs="Times New Roman"/>
                <w:sz w:val="20"/>
                <w:szCs w:val="20"/>
              </w:rPr>
              <w:t>51., 52., 54. </w:t>
            </w:r>
            <w:r w:rsidRPr="00E76B1A">
              <w:rPr>
                <w:rFonts w:cs="Times New Roman"/>
                <w:sz w:val="20"/>
                <w:szCs w:val="20"/>
              </w:rPr>
              <w:t>punkts</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PPDR sistēmas sas</w:t>
            </w:r>
            <w:r w:rsidR="00213421" w:rsidRPr="00E76B1A">
              <w:rPr>
                <w:rFonts w:cs="Times New Roman"/>
                <w:sz w:val="20"/>
                <w:szCs w:val="20"/>
              </w:rPr>
              <w:t>kaņā ar Noslēgumu jautājumu 54. </w:t>
            </w:r>
            <w:r w:rsidRPr="00E76B1A">
              <w:rPr>
                <w:rFonts w:cs="Times New Roman"/>
                <w:sz w:val="20"/>
                <w:szCs w:val="20"/>
              </w:rPr>
              <w:t>punktu</w:t>
            </w:r>
          </w:p>
        </w:tc>
      </w:tr>
      <w:tr w:rsidR="003E1056" w:rsidRPr="003E1056" w:rsidTr="005615FB">
        <w:trPr>
          <w:trHeight w:val="806"/>
        </w:trPr>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1056" w:rsidRPr="003E1056" w:rsidRDefault="003E1056" w:rsidP="0043732C">
            <w:pPr>
              <w:spacing w:after="0" w:line="240" w:lineRule="auto"/>
              <w:jc w:val="both"/>
              <w:rPr>
                <w:rFonts w:cs="Times New Roman"/>
                <w:color w:val="414142"/>
                <w:sz w:val="20"/>
                <w:szCs w:val="20"/>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1056" w:rsidRPr="003E1056" w:rsidRDefault="003E1056" w:rsidP="0043732C">
            <w:pPr>
              <w:spacing w:after="0" w:line="240" w:lineRule="auto"/>
              <w:jc w:val="both"/>
              <w:rPr>
                <w:rFonts w:cs="Times New Roman"/>
                <w:color w:val="414142"/>
                <w:sz w:val="20"/>
                <w:szCs w:val="20"/>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1056" w:rsidRPr="003E1056" w:rsidRDefault="003E1056" w:rsidP="0043732C">
            <w:pPr>
              <w:spacing w:after="0" w:line="240" w:lineRule="auto"/>
              <w:jc w:val="both"/>
              <w:rPr>
                <w:rFonts w:cs="Times New Roman"/>
                <w:color w:val="414142"/>
                <w:sz w:val="20"/>
                <w:szCs w:val="20"/>
              </w:rPr>
            </w:pPr>
          </w:p>
        </w:tc>
        <w:tc>
          <w:tcPr>
            <w:tcW w:w="885" w:type="pct"/>
            <w:tcBorders>
              <w:top w:val="outset" w:sz="6" w:space="0" w:color="414142"/>
              <w:left w:val="outset" w:sz="6" w:space="0" w:color="414142"/>
              <w:right w:val="outset" w:sz="6" w:space="0" w:color="414142"/>
            </w:tcBorders>
            <w:shd w:val="clear" w:color="auto" w:fill="FFFFFF"/>
          </w:tcPr>
          <w:p w:rsidR="003E1056" w:rsidRPr="003E1056" w:rsidRDefault="003E1056" w:rsidP="0043732C">
            <w:pPr>
              <w:spacing w:after="0" w:line="240" w:lineRule="auto"/>
              <w:jc w:val="both"/>
              <w:rPr>
                <w:rFonts w:cs="Times New Roman"/>
                <w:color w:val="414142"/>
                <w:sz w:val="20"/>
                <w:szCs w:val="20"/>
              </w:rPr>
            </w:pPr>
            <w:r w:rsidRPr="00E76B1A">
              <w:rPr>
                <w:rFonts w:cs="Times New Roman"/>
                <w:sz w:val="20"/>
                <w:szCs w:val="20"/>
              </w:rPr>
              <w:t>SRD: 694–789 MHz</w:t>
            </w:r>
          </w:p>
        </w:tc>
        <w:tc>
          <w:tcPr>
            <w:tcW w:w="1260"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Komisijas 2014. gada 1. septembra Lēmums </w:t>
            </w:r>
            <w:hyperlink r:id="rId8" w:tgtFrame="_blank" w:history="1">
              <w:r w:rsidRPr="003E1056">
                <w:rPr>
                  <w:rStyle w:val="Hyperlink"/>
                  <w:rFonts w:cs="Times New Roman"/>
                  <w:color w:val="16497B"/>
                  <w:sz w:val="20"/>
                  <w:szCs w:val="20"/>
                </w:rPr>
                <w:t>2014/641/ES</w:t>
              </w:r>
            </w:hyperlink>
            <w:r w:rsidRPr="003E1056">
              <w:rPr>
                <w:rFonts w:cs="Times New Roman"/>
                <w:color w:val="414142"/>
                <w:sz w:val="20"/>
                <w:szCs w:val="20"/>
              </w:rPr>
              <w:t> </w:t>
            </w:r>
            <w:r w:rsidRPr="00E76B1A">
              <w:rPr>
                <w:rFonts w:cs="Times New Roman"/>
                <w:sz w:val="20"/>
                <w:szCs w:val="20"/>
              </w:rPr>
              <w:t xml:space="preserve">par harmonizētajiem tehniskajiem nosacījumiem radiofrekvenču spektra izmantošanai programmu </w:t>
            </w:r>
            <w:r w:rsidRPr="00E76B1A">
              <w:rPr>
                <w:rFonts w:cs="Times New Roman"/>
                <w:sz w:val="20"/>
                <w:szCs w:val="20"/>
              </w:rPr>
              <w:lastRenderedPageBreak/>
              <w:t>gatavošanas un īpašo pasākumu bezvadu skaņas iekārtās Savienībā</w:t>
            </w:r>
          </w:p>
          <w:p w:rsidR="003E1056" w:rsidRPr="00E76B1A" w:rsidRDefault="003E1056" w:rsidP="0043732C">
            <w:pPr>
              <w:spacing w:after="0" w:line="240" w:lineRule="auto"/>
              <w:jc w:val="both"/>
              <w:rPr>
                <w:rFonts w:cs="Times New Roman"/>
                <w:sz w:val="20"/>
                <w:szCs w:val="20"/>
              </w:rPr>
            </w:pPr>
          </w:p>
          <w:p w:rsidR="00213421" w:rsidRPr="00E76B1A" w:rsidRDefault="003E1056" w:rsidP="0043732C">
            <w:pPr>
              <w:pStyle w:val="tvhtml"/>
              <w:spacing w:before="0" w:beforeAutospacing="0" w:after="0" w:afterAutospacing="0"/>
              <w:jc w:val="both"/>
              <w:rPr>
                <w:sz w:val="20"/>
                <w:szCs w:val="20"/>
              </w:rPr>
            </w:pPr>
            <w:r w:rsidRPr="00E76B1A">
              <w:rPr>
                <w:sz w:val="20"/>
                <w:szCs w:val="20"/>
              </w:rPr>
              <w:t>ERC/REC 70-03 – Par maza darbības attāluma ierīču (SRD) lietošanu</w:t>
            </w:r>
          </w:p>
          <w:p w:rsidR="00213421" w:rsidRPr="00E76B1A" w:rsidRDefault="00213421" w:rsidP="0043732C">
            <w:pPr>
              <w:pStyle w:val="tvhtml"/>
              <w:spacing w:before="0" w:beforeAutospacing="0" w:after="0" w:afterAutospacing="0"/>
              <w:jc w:val="both"/>
              <w:rPr>
                <w:sz w:val="20"/>
                <w:szCs w:val="20"/>
              </w:rPr>
            </w:pPr>
          </w:p>
          <w:p w:rsidR="00213421" w:rsidRPr="003E1056" w:rsidRDefault="003E1056" w:rsidP="0043732C">
            <w:pPr>
              <w:pStyle w:val="tvhtml"/>
              <w:spacing w:before="0" w:beforeAutospacing="0" w:after="0" w:afterAutospacing="0"/>
              <w:jc w:val="both"/>
              <w:rPr>
                <w:color w:val="414142"/>
                <w:sz w:val="20"/>
                <w:szCs w:val="20"/>
              </w:rPr>
            </w:pPr>
            <w:r w:rsidRPr="00E76B1A">
              <w:rPr>
                <w:sz w:val="20"/>
                <w:szCs w:val="20"/>
              </w:rPr>
              <w:t>ERC/REC 25-10 – Radiofrekvenču joslas skaņas un video SAP/SAB pagaidu līnijām (ieskaitot ENG/OB)</w:t>
            </w:r>
          </w:p>
        </w:tc>
        <w:tc>
          <w:tcPr>
            <w:tcW w:w="901"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lastRenderedPageBreak/>
              <w:t>PMSE ierīces</w:t>
            </w:r>
          </w:p>
          <w:p w:rsidR="003E1056" w:rsidRPr="00E76B1A" w:rsidRDefault="003E1056" w:rsidP="0043732C">
            <w:pPr>
              <w:spacing w:after="0" w:line="240" w:lineRule="auto"/>
              <w:jc w:val="both"/>
              <w:rPr>
                <w:rFonts w:cs="Times New Roman"/>
                <w:sz w:val="20"/>
                <w:szCs w:val="20"/>
              </w:rPr>
            </w:pPr>
          </w:p>
          <w:p w:rsidR="003E1056" w:rsidRPr="00E76B1A" w:rsidRDefault="003E1056" w:rsidP="0043732C">
            <w:pPr>
              <w:pStyle w:val="tvhtml"/>
              <w:spacing w:before="0" w:beforeAutospacing="0" w:after="0" w:afterAutospacing="0"/>
              <w:jc w:val="both"/>
              <w:rPr>
                <w:sz w:val="20"/>
                <w:szCs w:val="20"/>
              </w:rPr>
            </w:pPr>
            <w:r w:rsidRPr="00E76B1A">
              <w:rPr>
                <w:sz w:val="20"/>
                <w:szCs w:val="20"/>
              </w:rPr>
              <w:t>Radiosaskarne RS PMSE.01</w:t>
            </w:r>
          </w:p>
          <w:p w:rsidR="003E1056" w:rsidRPr="00E76B1A" w:rsidRDefault="003E1056" w:rsidP="0043732C">
            <w:pPr>
              <w:pStyle w:val="tvhtml"/>
              <w:spacing w:before="0" w:beforeAutospacing="0" w:after="0" w:afterAutospacing="0"/>
              <w:jc w:val="both"/>
              <w:rPr>
                <w:sz w:val="20"/>
                <w:szCs w:val="20"/>
              </w:rPr>
            </w:pPr>
          </w:p>
          <w:p w:rsidR="003E1056" w:rsidRPr="003E1056" w:rsidRDefault="003E1056" w:rsidP="0043732C">
            <w:pPr>
              <w:pStyle w:val="tvhtml"/>
              <w:spacing w:before="0" w:beforeAutospacing="0" w:after="0" w:afterAutospacing="0"/>
              <w:jc w:val="both"/>
              <w:rPr>
                <w:color w:val="414142"/>
                <w:sz w:val="20"/>
                <w:szCs w:val="20"/>
              </w:rPr>
            </w:pPr>
            <w:r w:rsidRPr="00E76B1A">
              <w:rPr>
                <w:sz w:val="20"/>
                <w:szCs w:val="20"/>
              </w:rPr>
              <w:lastRenderedPageBreak/>
              <w:t>Noslēguma jautājumi, 53</w:t>
            </w:r>
            <w:r w:rsidR="00213421" w:rsidRPr="00E76B1A">
              <w:rPr>
                <w:sz w:val="20"/>
                <w:szCs w:val="20"/>
              </w:rPr>
              <w:t>. </w:t>
            </w:r>
            <w:r w:rsidRPr="00E76B1A">
              <w:rPr>
                <w:sz w:val="20"/>
                <w:szCs w:val="20"/>
              </w:rPr>
              <w:t>punkts</w:t>
            </w:r>
          </w:p>
        </w:tc>
      </w:tr>
      <w:tr w:rsidR="003E1056" w:rsidRPr="003E1056" w:rsidTr="005615FB">
        <w:trPr>
          <w:trHeight w:val="620"/>
        </w:trPr>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tcPr>
          <w:p w:rsidR="003E1056" w:rsidRPr="003E1056" w:rsidRDefault="003E1056" w:rsidP="0043732C">
            <w:pPr>
              <w:spacing w:after="0" w:line="240" w:lineRule="auto"/>
              <w:jc w:val="both"/>
              <w:rPr>
                <w:rFonts w:cs="Times New Roman"/>
                <w:color w:val="414142"/>
                <w:sz w:val="20"/>
                <w:szCs w:val="20"/>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tcPr>
          <w:p w:rsidR="003E1056" w:rsidRPr="003E1056" w:rsidRDefault="003E1056" w:rsidP="0043732C">
            <w:pPr>
              <w:spacing w:after="0" w:line="240" w:lineRule="auto"/>
              <w:jc w:val="both"/>
              <w:rPr>
                <w:rFonts w:cs="Times New Roman"/>
                <w:color w:val="414142"/>
                <w:sz w:val="20"/>
                <w:szCs w:val="20"/>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tcPr>
          <w:p w:rsidR="003E1056" w:rsidRPr="003E1056" w:rsidRDefault="003E1056" w:rsidP="0043732C">
            <w:pPr>
              <w:spacing w:after="0" w:line="240" w:lineRule="auto"/>
              <w:jc w:val="both"/>
              <w:rPr>
                <w:rFonts w:cs="Times New Roman"/>
                <w:color w:val="414142"/>
                <w:sz w:val="20"/>
                <w:szCs w:val="20"/>
              </w:rPr>
            </w:pPr>
          </w:p>
        </w:tc>
        <w:tc>
          <w:tcPr>
            <w:tcW w:w="885"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SAB/SAP: 694–786 MHz</w:t>
            </w:r>
          </w:p>
        </w:tc>
        <w:tc>
          <w:tcPr>
            <w:tcW w:w="1260"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ERC/REC 25-10 – Radiofrekvenču joslas skaņas un video SAP/SAB pagaidu līnijām (ieskaitot ENG/OB)</w:t>
            </w:r>
          </w:p>
        </w:tc>
        <w:tc>
          <w:tcPr>
            <w:tcW w:w="901" w:type="pct"/>
            <w:tcBorders>
              <w:top w:val="outset" w:sz="6" w:space="0" w:color="414142"/>
              <w:left w:val="outset" w:sz="6" w:space="0" w:color="414142"/>
              <w:right w:val="outset" w:sz="6" w:space="0" w:color="414142"/>
            </w:tcBorders>
            <w:shd w:val="clear" w:color="auto" w:fill="FFFFFF"/>
          </w:tcPr>
          <w:p w:rsidR="003E1056" w:rsidRPr="00E76B1A" w:rsidRDefault="003E1056" w:rsidP="0043732C">
            <w:pPr>
              <w:spacing w:after="0" w:line="240" w:lineRule="auto"/>
              <w:jc w:val="both"/>
              <w:rPr>
                <w:rFonts w:cs="Times New Roman"/>
                <w:sz w:val="20"/>
                <w:szCs w:val="20"/>
              </w:rPr>
            </w:pPr>
            <w:r w:rsidRPr="00E76B1A">
              <w:rPr>
                <w:rFonts w:cs="Times New Roman"/>
                <w:sz w:val="20"/>
                <w:szCs w:val="20"/>
              </w:rPr>
              <w:t>Skaņas un video signālu pārraides radiolīnijas</w:t>
            </w:r>
          </w:p>
          <w:p w:rsidR="003E1056" w:rsidRPr="00E76B1A" w:rsidRDefault="003E1056" w:rsidP="0043732C">
            <w:pPr>
              <w:spacing w:after="0" w:line="240" w:lineRule="auto"/>
              <w:jc w:val="both"/>
              <w:rPr>
                <w:rFonts w:cs="Times New Roman"/>
                <w:sz w:val="20"/>
                <w:szCs w:val="20"/>
              </w:rPr>
            </w:pPr>
          </w:p>
          <w:p w:rsidR="003E1056" w:rsidRPr="00AD565D" w:rsidRDefault="003E1056" w:rsidP="0043732C">
            <w:pPr>
              <w:pStyle w:val="tvhtml"/>
              <w:spacing w:before="0" w:beforeAutospacing="0" w:after="0" w:afterAutospacing="0"/>
              <w:jc w:val="both"/>
              <w:rPr>
                <w:sz w:val="20"/>
                <w:szCs w:val="20"/>
              </w:rPr>
            </w:pPr>
            <w:r w:rsidRPr="00AD565D">
              <w:rPr>
                <w:rFonts w:eastAsiaTheme="minorHAnsi"/>
                <w:sz w:val="20"/>
                <w:szCs w:val="20"/>
                <w:lang w:eastAsia="en-US"/>
              </w:rPr>
              <w:t>Noslēguma jautājumi, 53.</w:t>
            </w:r>
            <w:r w:rsidR="00213421" w:rsidRPr="00AD565D">
              <w:rPr>
                <w:rFonts w:eastAsiaTheme="minorHAnsi"/>
                <w:sz w:val="20"/>
                <w:szCs w:val="20"/>
                <w:lang w:eastAsia="en-US"/>
              </w:rPr>
              <w:t> </w:t>
            </w:r>
            <w:r w:rsidRPr="00AD565D">
              <w:rPr>
                <w:rFonts w:eastAsiaTheme="minorHAnsi"/>
                <w:sz w:val="20"/>
                <w:szCs w:val="20"/>
                <w:lang w:eastAsia="en-US"/>
              </w:rPr>
              <w:t>punkts</w:t>
            </w:r>
          </w:p>
        </w:tc>
      </w:tr>
    </w:tbl>
    <w:p w:rsidR="005615FB" w:rsidRPr="00212697" w:rsidRDefault="005615FB" w:rsidP="00222204">
      <w:pPr>
        <w:jc w:val="both"/>
        <w:rPr>
          <w:rFonts w:cs="Times New Roman"/>
          <w:color w:val="414142"/>
          <w:szCs w:val="28"/>
          <w:shd w:val="clear" w:color="auto" w:fill="FFFFFF"/>
        </w:rPr>
      </w:pPr>
      <w:r w:rsidRPr="00212697">
        <w:rPr>
          <w:rFonts w:cs="Times New Roman"/>
          <w:color w:val="414142"/>
          <w:szCs w:val="28"/>
          <w:shd w:val="clear" w:color="auto" w:fill="FFFFFF"/>
        </w:rPr>
        <w:t>”.</w:t>
      </w:r>
    </w:p>
    <w:p w:rsidR="00D21712" w:rsidRDefault="00D21712" w:rsidP="0043732C">
      <w:pPr>
        <w:pStyle w:val="ListParagraph"/>
        <w:numPr>
          <w:ilvl w:val="0"/>
          <w:numId w:val="2"/>
        </w:numPr>
        <w:jc w:val="both"/>
        <w:rPr>
          <w:rFonts w:cs="Times New Roman"/>
          <w:bCs/>
          <w:szCs w:val="28"/>
        </w:rPr>
      </w:pPr>
      <w:r w:rsidRPr="007C04F6">
        <w:rPr>
          <w:rFonts w:cs="Times New Roman"/>
          <w:bCs/>
          <w:szCs w:val="28"/>
        </w:rPr>
        <w:t>Izteikt 1. pielikuma 242. un 243. punktu šādā redakcijā:</w:t>
      </w:r>
    </w:p>
    <w:p w:rsidR="00212697" w:rsidRDefault="00212697" w:rsidP="0043732C">
      <w:pPr>
        <w:spacing w:after="0"/>
        <w:ind w:left="360"/>
        <w:jc w:val="both"/>
        <w:rPr>
          <w:rFonts w:cs="Times New Roman"/>
          <w:bCs/>
          <w:szCs w:val="28"/>
        </w:rPr>
      </w:pPr>
      <w:r>
        <w:rPr>
          <w:rFonts w:cs="Times New Roman"/>
          <w:bCs/>
          <w:szCs w:val="28"/>
        </w:rPr>
        <w:t>“</w:t>
      </w:r>
    </w:p>
    <w:tbl>
      <w:tblPr>
        <w:tblW w:w="5382"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5"/>
        <w:gridCol w:w="1309"/>
        <w:gridCol w:w="1309"/>
        <w:gridCol w:w="1732"/>
        <w:gridCol w:w="2183"/>
        <w:gridCol w:w="1905"/>
      </w:tblGrid>
      <w:tr w:rsidR="002A2AE9" w:rsidRPr="00773FF8" w:rsidTr="00292A54">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242.</w:t>
            </w:r>
          </w:p>
        </w:tc>
        <w:tc>
          <w:tcPr>
            <w:tcW w:w="4703" w:type="pct"/>
            <w:gridSpan w:val="5"/>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before="100" w:beforeAutospacing="1" w:after="100" w:afterAutospacing="1" w:line="240" w:lineRule="auto"/>
              <w:jc w:val="both"/>
              <w:rPr>
                <w:rFonts w:eastAsia="Times New Roman" w:cs="Times New Roman"/>
                <w:b/>
                <w:bCs/>
                <w:sz w:val="20"/>
                <w:szCs w:val="20"/>
                <w:lang w:eastAsia="lv-LV"/>
              </w:rPr>
            </w:pPr>
            <w:r w:rsidRPr="002A2AE9">
              <w:rPr>
                <w:rFonts w:eastAsia="Times New Roman" w:cs="Times New Roman"/>
                <w:b/>
                <w:bCs/>
                <w:sz w:val="20"/>
                <w:szCs w:val="20"/>
                <w:lang w:eastAsia="lv-LV"/>
              </w:rPr>
              <w:t>862–890 MHz</w:t>
            </w:r>
          </w:p>
        </w:tc>
      </w:tr>
      <w:tr w:rsidR="002A2AE9" w:rsidRPr="00773FF8" w:rsidTr="00292A54">
        <w:trPr>
          <w:tblCellSpacing w:w="15" w:type="dxa"/>
        </w:trPr>
        <w:tc>
          <w:tcPr>
            <w:tcW w:w="24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w:t>
            </w:r>
          </w:p>
        </w:tc>
        <w:tc>
          <w:tcPr>
            <w:tcW w:w="71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FIKSĒTAIS MOBILAIS, izņemot gaisa kuģniecības mobilo 5.317A APRAIDES 5.322 5.319 5.323</w:t>
            </w:r>
          </w:p>
        </w:tc>
        <w:tc>
          <w:tcPr>
            <w:tcW w:w="71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FIKSĒTAIS MOBILAIS, izņemot gaisa kuģniecības mobilo 5.317A</w:t>
            </w: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863–865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ERC/REC 70-03 – Par maza darbības attāluma ierīču (SRD) lietošanu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Radiomikrofoni un dzirdes palīgierīces</w:t>
            </w:r>
          </w:p>
        </w:tc>
      </w:tr>
      <w:tr w:rsidR="002A2AE9" w:rsidRPr="00773FF8"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863–865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ERC/REC 70-03 – Par maza darbības attāluma ierīču (SRD) lietošanu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2006. gada 9. novembra Lēmums </w:t>
            </w:r>
            <w:hyperlink r:id="rId9"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2013. gada 11. decembra Lēmums </w:t>
            </w:r>
            <w:hyperlink r:id="rId10" w:tgtFrame="_blank" w:history="1">
              <w:r w:rsidRPr="002A2AE9">
                <w:rPr>
                  <w:rFonts w:eastAsia="Times New Roman" w:cs="Times New Roman"/>
                  <w:color w:val="0000FF"/>
                  <w:sz w:val="20"/>
                  <w:szCs w:val="20"/>
                  <w:u w:val="single"/>
                  <w:lang w:eastAsia="lv-LV"/>
                </w:rPr>
                <w:t>2013/752/ES</w:t>
              </w:r>
            </w:hyperlink>
            <w:r w:rsidRPr="002A2AE9">
              <w:rPr>
                <w:rFonts w:eastAsia="Times New Roman" w:cs="Times New Roman"/>
                <w:sz w:val="20"/>
                <w:szCs w:val="20"/>
                <w:lang w:eastAsia="lv-LV"/>
              </w:rPr>
              <w:t xml:space="preserve">, ar ko izdara grozījumus Lēmumā </w:t>
            </w:r>
            <w:hyperlink r:id="rId11"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 un Lēmuma </w:t>
            </w:r>
            <w:hyperlink r:id="rId12" w:tgtFrame="_blank" w:history="1">
              <w:r w:rsidRPr="002A2AE9">
                <w:rPr>
                  <w:rFonts w:eastAsia="Times New Roman" w:cs="Times New Roman"/>
                  <w:color w:val="0000FF"/>
                  <w:sz w:val="20"/>
                  <w:szCs w:val="20"/>
                  <w:u w:val="single"/>
                  <w:lang w:eastAsia="lv-LV"/>
                </w:rPr>
                <w:t>2005/928/EK</w:t>
              </w:r>
            </w:hyperlink>
            <w:r w:rsidRPr="002A2AE9">
              <w:rPr>
                <w:rFonts w:eastAsia="Times New Roman" w:cs="Times New Roman"/>
                <w:sz w:val="20"/>
                <w:szCs w:val="20"/>
                <w:lang w:eastAsia="lv-LV"/>
              </w:rPr>
              <w:t xml:space="preserve"> atcelšanu</w:t>
            </w:r>
            <w:r w:rsidRPr="002A2AE9">
              <w:rPr>
                <w:rFonts w:eastAsia="Times New Roman" w:cs="Times New Roman"/>
                <w:sz w:val="20"/>
                <w:szCs w:val="20"/>
                <w:lang w:eastAsia="lv-LV"/>
              </w:rPr>
              <w:br/>
            </w:r>
            <w:r w:rsidRPr="002A2AE9">
              <w:rPr>
                <w:rFonts w:eastAsia="Times New Roman" w:cs="Times New Roman"/>
                <w:sz w:val="20"/>
                <w:szCs w:val="20"/>
                <w:lang w:eastAsia="lv-LV"/>
              </w:rPr>
              <w:br/>
              <w:t xml:space="preserve">Eiropas Komisijas 2017. gada 8. augusta Lēmums </w:t>
            </w:r>
            <w:hyperlink r:id="rId13" w:tgtFrame="_blank" w:history="1">
              <w:r w:rsidRPr="002A2AE9">
                <w:rPr>
                  <w:rFonts w:eastAsia="Times New Roman" w:cs="Times New Roman"/>
                  <w:color w:val="0000FF"/>
                  <w:sz w:val="20"/>
                  <w:szCs w:val="20"/>
                  <w:u w:val="single"/>
                  <w:lang w:eastAsia="lv-LV"/>
                </w:rPr>
                <w:t>2017/1483/EK</w:t>
              </w:r>
            </w:hyperlink>
            <w:r w:rsidRPr="002A2AE9">
              <w:rPr>
                <w:rFonts w:eastAsia="Times New Roman" w:cs="Times New Roman"/>
                <w:sz w:val="20"/>
                <w:szCs w:val="20"/>
                <w:lang w:eastAsia="lv-LV"/>
              </w:rPr>
              <w:t xml:space="preserve">, ar kuru izdara grozījumus Lēmumā </w:t>
            </w:r>
            <w:hyperlink r:id="rId14"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w:t>
            </w:r>
            <w:r w:rsidRPr="002A2AE9">
              <w:rPr>
                <w:rFonts w:eastAsia="Times New Roman" w:cs="Times New Roman"/>
                <w:sz w:val="20"/>
                <w:szCs w:val="20"/>
                <w:lang w:eastAsia="lv-LV"/>
              </w:rPr>
              <w:lastRenderedPageBreak/>
              <w:t>par maza darbības attāluma ierīcēs izmantotā radiofrekvenču spektra saskaņošanu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Nespecifiskās maza darbības attāluma ierīces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proofErr w:type="gramStart"/>
            <w:r w:rsidRPr="002A2AE9">
              <w:rPr>
                <w:rFonts w:eastAsia="Times New Roman" w:cs="Times New Roman"/>
                <w:sz w:val="20"/>
                <w:szCs w:val="20"/>
                <w:lang w:eastAsia="lv-LV"/>
              </w:rPr>
              <w:t>Augsta darbības</w:t>
            </w:r>
            <w:proofErr w:type="gramEnd"/>
            <w:r w:rsidRPr="002A2AE9">
              <w:rPr>
                <w:rFonts w:eastAsia="Times New Roman" w:cs="Times New Roman"/>
                <w:sz w:val="20"/>
                <w:szCs w:val="20"/>
                <w:lang w:eastAsia="lv-LV"/>
              </w:rPr>
              <w:t xml:space="preserve"> cikla/ nepārtrauktas raidīšanas ierīces</w:t>
            </w:r>
          </w:p>
        </w:tc>
      </w:tr>
      <w:tr w:rsidR="002A2AE9" w:rsidRPr="00773FF8"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864,8–865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ERC/REC 70-03 – Par maza darbības attāluma ierīču (SRD) lietošanu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Bezvadu skaņas pielietojumi, analogās šaurjoslas balss sakaru ierīces</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SRD: </w:t>
            </w:r>
            <w:proofErr w:type="gramStart"/>
            <w:r w:rsidRPr="002A2AE9">
              <w:rPr>
                <w:rFonts w:eastAsia="Times New Roman" w:cs="Times New Roman"/>
                <w:sz w:val="20"/>
                <w:szCs w:val="20"/>
                <w:lang w:eastAsia="lv-LV"/>
              </w:rPr>
              <w:t>865– 8</w:t>
            </w:r>
            <w:proofErr w:type="gramEnd"/>
            <w:r w:rsidRPr="002A2AE9">
              <w:rPr>
                <w:rFonts w:eastAsia="Times New Roman" w:cs="Times New Roman"/>
                <w:sz w:val="20"/>
                <w:szCs w:val="20"/>
                <w:lang w:eastAsia="lv-LV"/>
              </w:rPr>
              <w:t>68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2006. gada 23. novembra Lēmums </w:t>
            </w:r>
            <w:hyperlink r:id="rId15" w:tgtFrame="_blank" w:history="1">
              <w:r w:rsidRPr="002A2AE9">
                <w:rPr>
                  <w:rFonts w:eastAsia="Times New Roman" w:cs="Times New Roman"/>
                  <w:color w:val="0000FF"/>
                  <w:sz w:val="20"/>
                  <w:szCs w:val="20"/>
                  <w:u w:val="single"/>
                  <w:lang w:eastAsia="lv-LV"/>
                </w:rPr>
                <w:t>2006/804/EK</w:t>
              </w:r>
            </w:hyperlink>
            <w:r w:rsidRPr="002A2AE9">
              <w:rPr>
                <w:rFonts w:eastAsia="Times New Roman" w:cs="Times New Roman"/>
                <w:sz w:val="20"/>
                <w:szCs w:val="20"/>
                <w:lang w:eastAsia="lv-LV"/>
              </w:rPr>
              <w:t xml:space="preserve"> par radiofrekvenču spektra saskaņošanu identifikācijas radiofrekvenču ierīcēm (RFID), kuras darbojas sevišķi augstu frekvenču joslā (UHF)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ERC/REC 70-03 – Par maza darbības attāluma ierīču (SRD) lietošanu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RFID</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SRD: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868,0–868,6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868,7–869,2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869,4–869,65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869,7–870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ERC/REC 70-03 – Par maza darbības attāluma ierīču (SRD) lietošanu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2006. gada 9. novembra Lēmums </w:t>
            </w:r>
            <w:hyperlink r:id="rId16"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2013. gada 11. decembra Lēmums </w:t>
            </w:r>
            <w:hyperlink r:id="rId17" w:tgtFrame="_blank" w:history="1">
              <w:r w:rsidRPr="002A2AE9">
                <w:rPr>
                  <w:rFonts w:eastAsia="Times New Roman" w:cs="Times New Roman"/>
                  <w:color w:val="0000FF"/>
                  <w:sz w:val="20"/>
                  <w:szCs w:val="20"/>
                  <w:u w:val="single"/>
                  <w:lang w:eastAsia="lv-LV"/>
                </w:rPr>
                <w:t>2013/752/ES</w:t>
              </w:r>
            </w:hyperlink>
            <w:r w:rsidRPr="002A2AE9">
              <w:rPr>
                <w:rFonts w:eastAsia="Times New Roman" w:cs="Times New Roman"/>
                <w:sz w:val="20"/>
                <w:szCs w:val="20"/>
                <w:lang w:eastAsia="lv-LV"/>
              </w:rPr>
              <w:t xml:space="preserve">, ar ko izdara grozījumus Lēmumā </w:t>
            </w:r>
            <w:hyperlink r:id="rId18"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 un Lēmuma </w:t>
            </w:r>
            <w:hyperlink r:id="rId19" w:tgtFrame="_blank" w:history="1">
              <w:r w:rsidRPr="002A2AE9">
                <w:rPr>
                  <w:rFonts w:eastAsia="Times New Roman" w:cs="Times New Roman"/>
                  <w:color w:val="0000FF"/>
                  <w:sz w:val="20"/>
                  <w:szCs w:val="20"/>
                  <w:u w:val="single"/>
                  <w:lang w:eastAsia="lv-LV"/>
                </w:rPr>
                <w:t>2005/928/EK</w:t>
              </w:r>
            </w:hyperlink>
            <w:r w:rsidRPr="002A2AE9">
              <w:rPr>
                <w:rFonts w:eastAsia="Times New Roman" w:cs="Times New Roman"/>
                <w:sz w:val="20"/>
                <w:szCs w:val="20"/>
                <w:lang w:eastAsia="lv-LV"/>
              </w:rPr>
              <w:t xml:space="preserve"> atcelšanu</w:t>
            </w:r>
            <w:r w:rsidRPr="002A2AE9">
              <w:rPr>
                <w:rFonts w:eastAsia="Times New Roman" w:cs="Times New Roman"/>
                <w:sz w:val="20"/>
                <w:szCs w:val="20"/>
                <w:lang w:eastAsia="lv-LV"/>
              </w:rPr>
              <w:br/>
            </w:r>
            <w:r w:rsidRPr="002A2AE9">
              <w:rPr>
                <w:rFonts w:eastAsia="Times New Roman" w:cs="Times New Roman"/>
                <w:sz w:val="20"/>
                <w:szCs w:val="20"/>
                <w:lang w:eastAsia="lv-LV"/>
              </w:rPr>
              <w:br/>
              <w:t xml:space="preserve">Eiropas Komisijas 2017. gada 8. augusta Lēmums </w:t>
            </w:r>
            <w:hyperlink r:id="rId20" w:tgtFrame="_blank" w:history="1">
              <w:r w:rsidRPr="002A2AE9">
                <w:rPr>
                  <w:rFonts w:eastAsia="Times New Roman" w:cs="Times New Roman"/>
                  <w:color w:val="0000FF"/>
                  <w:sz w:val="20"/>
                  <w:szCs w:val="20"/>
                  <w:u w:val="single"/>
                  <w:lang w:eastAsia="lv-LV"/>
                </w:rPr>
                <w:t>2017/1483/EK</w:t>
              </w:r>
            </w:hyperlink>
            <w:r w:rsidRPr="002A2AE9">
              <w:rPr>
                <w:rFonts w:eastAsia="Times New Roman" w:cs="Times New Roman"/>
                <w:sz w:val="20"/>
                <w:szCs w:val="20"/>
                <w:lang w:eastAsia="lv-LV"/>
              </w:rPr>
              <w:t xml:space="preserve">, ar kuru izdara grozījumus Lēmumā </w:t>
            </w:r>
            <w:hyperlink r:id="rId21"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Nespecifiskās maza darbības attāluma ierīces</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SRD: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868,6 – 868,7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869,2 - 869,4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869,65–869,7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ERC/REC 70-03 – Par maza darbības attāluma ierīču (SRD) lietošanu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Komisijas 2006. gada 9. novembra Lēmums </w:t>
            </w:r>
            <w:hyperlink r:id="rId22"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2013. gada 11. decembra Lēmums </w:t>
            </w:r>
            <w:hyperlink r:id="rId23" w:tgtFrame="_blank" w:history="1">
              <w:r w:rsidRPr="002A2AE9">
                <w:rPr>
                  <w:rFonts w:eastAsia="Times New Roman" w:cs="Times New Roman"/>
                  <w:color w:val="0000FF"/>
                  <w:sz w:val="20"/>
                  <w:szCs w:val="20"/>
                  <w:u w:val="single"/>
                  <w:lang w:eastAsia="lv-LV"/>
                </w:rPr>
                <w:t>2013/752/ES</w:t>
              </w:r>
            </w:hyperlink>
            <w:r w:rsidRPr="002A2AE9">
              <w:rPr>
                <w:rFonts w:eastAsia="Times New Roman" w:cs="Times New Roman"/>
                <w:sz w:val="20"/>
                <w:szCs w:val="20"/>
                <w:lang w:eastAsia="lv-LV"/>
              </w:rPr>
              <w:t xml:space="preserve">, ar ko izdara grozījumus Lēmumā </w:t>
            </w:r>
            <w:hyperlink r:id="rId24"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 un Lēmuma </w:t>
            </w:r>
            <w:hyperlink r:id="rId25" w:tgtFrame="_blank" w:history="1">
              <w:r w:rsidRPr="002A2AE9">
                <w:rPr>
                  <w:rFonts w:eastAsia="Times New Roman" w:cs="Times New Roman"/>
                  <w:color w:val="0000FF"/>
                  <w:sz w:val="20"/>
                  <w:szCs w:val="20"/>
                  <w:u w:val="single"/>
                  <w:lang w:eastAsia="lv-LV"/>
                </w:rPr>
                <w:t>2005/928/EK</w:t>
              </w:r>
            </w:hyperlink>
            <w:r w:rsidRPr="002A2AE9">
              <w:rPr>
                <w:rFonts w:eastAsia="Times New Roman" w:cs="Times New Roman"/>
                <w:sz w:val="20"/>
                <w:szCs w:val="20"/>
                <w:lang w:eastAsia="lv-LV"/>
              </w:rPr>
              <w:t xml:space="preserve"> atcelšanu</w:t>
            </w:r>
            <w:r w:rsidRPr="002A2AE9">
              <w:rPr>
                <w:rFonts w:eastAsia="Times New Roman" w:cs="Times New Roman"/>
                <w:sz w:val="20"/>
                <w:szCs w:val="20"/>
                <w:lang w:eastAsia="lv-LV"/>
              </w:rPr>
              <w:br/>
            </w:r>
            <w:r w:rsidRPr="002A2AE9">
              <w:rPr>
                <w:rFonts w:eastAsia="Times New Roman" w:cs="Times New Roman"/>
                <w:sz w:val="20"/>
                <w:szCs w:val="20"/>
                <w:lang w:eastAsia="lv-LV"/>
              </w:rPr>
              <w:br/>
              <w:t xml:space="preserve">Eiropas Komisijas 2017. gada 8. augusta Lēmums </w:t>
            </w:r>
            <w:hyperlink r:id="rId26" w:tgtFrame="_blank" w:history="1">
              <w:r w:rsidRPr="002A2AE9">
                <w:rPr>
                  <w:rFonts w:eastAsia="Times New Roman" w:cs="Times New Roman"/>
                  <w:color w:val="0000FF"/>
                  <w:sz w:val="20"/>
                  <w:szCs w:val="20"/>
                  <w:u w:val="single"/>
                  <w:lang w:eastAsia="lv-LV"/>
                </w:rPr>
                <w:t>2017/1483/EK</w:t>
              </w:r>
            </w:hyperlink>
            <w:r w:rsidRPr="002A2AE9">
              <w:rPr>
                <w:rFonts w:eastAsia="Times New Roman" w:cs="Times New Roman"/>
                <w:sz w:val="20"/>
                <w:szCs w:val="20"/>
                <w:lang w:eastAsia="lv-LV"/>
              </w:rPr>
              <w:t xml:space="preserve">, ar kuru izdara grozījumus Lēmumā </w:t>
            </w:r>
            <w:hyperlink r:id="rId27" w:tgtFrame="_blank" w:history="1">
              <w:r w:rsidRPr="002A2AE9">
                <w:rPr>
                  <w:rFonts w:eastAsia="Times New Roman" w:cs="Times New Roman"/>
                  <w:color w:val="0000FF"/>
                  <w:sz w:val="20"/>
                  <w:szCs w:val="20"/>
                  <w:u w:val="single"/>
                  <w:lang w:eastAsia="lv-LV"/>
                </w:rPr>
                <w:t>2006/771/EK</w:t>
              </w:r>
            </w:hyperlink>
            <w:r w:rsidRPr="002A2AE9">
              <w:rPr>
                <w:rFonts w:eastAsia="Times New Roman" w:cs="Times New Roman"/>
                <w:sz w:val="20"/>
                <w:szCs w:val="20"/>
                <w:lang w:eastAsia="lv-LV"/>
              </w:rPr>
              <w:t xml:space="preserve"> par maza darbības attāluma ierīcēs izmantotā radiofrekvenču spektra saskaņošanu</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Trauksmes signāli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proofErr w:type="gramStart"/>
            <w:r w:rsidRPr="002A2AE9">
              <w:rPr>
                <w:rFonts w:eastAsia="Times New Roman" w:cs="Times New Roman"/>
                <w:sz w:val="20"/>
                <w:szCs w:val="20"/>
                <w:lang w:eastAsia="lv-LV"/>
              </w:rPr>
              <w:lastRenderedPageBreak/>
              <w:t>Zema darbības</w:t>
            </w:r>
            <w:proofErr w:type="gramEnd"/>
            <w:r w:rsidRPr="002A2AE9">
              <w:rPr>
                <w:rFonts w:eastAsia="Times New Roman" w:cs="Times New Roman"/>
                <w:sz w:val="20"/>
                <w:szCs w:val="20"/>
                <w:lang w:eastAsia="lv-LV"/>
              </w:rPr>
              <w:t xml:space="preserve"> cikla/ augstas uzticamības ierīces</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AS: 873-874 MHz</w:t>
            </w: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cs="Times New Roman"/>
                <w:sz w:val="20"/>
                <w:szCs w:val="20"/>
              </w:rPr>
            </w:pP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Josla iedalīta</w:t>
            </w:r>
            <w:r w:rsidR="0085604E">
              <w:rPr>
                <w:rFonts w:eastAsia="Times New Roman" w:cs="Times New Roman"/>
                <w:sz w:val="20"/>
                <w:szCs w:val="20"/>
                <w:lang w:eastAsia="lv-LV"/>
              </w:rPr>
              <w:t xml:space="preserve"> lietošanai valsts aizsardzībai</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874-874,4 MHz</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cs="Times New Roman"/>
                <w:sz w:val="20"/>
                <w:szCs w:val="20"/>
              </w:rPr>
              <w:t>Komisijas 2018. gada 11. oktobra Īstenošanas Lēmums (ES) 2018/1538 par radiofrekvenču spektra harmonizēšanu izmantošanai maza darbības attāluma ierīcēm 874–876 un 915–921 MHz frekvenču joslās</w:t>
            </w: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Nespecifiskas maza darbības attāluma ierīces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GSM-R/ML/DMO: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876–880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ECC/DEC/(02)05 – ECC 2002. gada 5. jūlija lēmums par radiofrekvenču joslu noteikšanu un to pieejamību dzelzceļa sakaru sistēmām 876–880 MHz un 921–925 MHz frekvenču joslās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ECC/DEC/(02)09 – ECC 2002. gada 15. novembra lēmums par dzelzceļa sakaru sistēmas GSM R mobilo galiekārtu, kuras darbojas 876–880 MHz </w:t>
            </w:r>
            <w:r w:rsidRPr="002A2AE9">
              <w:rPr>
                <w:rFonts w:eastAsia="Times New Roman" w:cs="Times New Roman"/>
                <w:sz w:val="20"/>
                <w:szCs w:val="20"/>
                <w:lang w:eastAsia="lv-LV"/>
              </w:rPr>
              <w:lastRenderedPageBreak/>
              <w:t>un 921–925 MHz radiofrekvenču joslās, brīvu apriti un lietošanu CEPT valstīs, paplašinot lēmuma ERC/DEC/(95)01 piemērošanas jomu</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ECC/DEC/(02)10 – ECC 2002. gada 15. novembra lēmums par dzelzceļa sakaru sistēmas GSM R mobilo galiekārtu, kuras darbojas 876–880 MHz un 921–925 MHz radiofrekvenču joslās, atbrīvošanu no individuālajām atļaujām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ECC/REC/(05)08 – Frekvenču plānošana un frekvenču koordinēšana GSM 900, GSM 1800, E-GSM un GSM-R sauszemes mobilajām sistēmām (izņemot tiešo sakaru režīma (DMO) kanālus)</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Dupleksie kanāli (FB: 921–925 MHz)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DMO kanāli: 876–876,075 MHz</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IMT-2000/UMTS/LTE/ WiMAX/ E-GSM/ML: 880–890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ERC/DEC/(97)02 – ERC 1997. gada 21. marta lēmums par paplašinātām radiofrekvenču joslām, lietošanai Viseiropas ciparu sakaru sistēmai GSM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ECC/REC/(05)08 – Frekvenču plānošana un frekvenču koordinēšana GSM 900, GSM 1800, E-GSM un GSM-R sauszemes mobilajām sistēmām (izņemot tiešo sakaru režīma (DMO) kanālus)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ECC/DEC/(06)13 – ECC 2006. gada 1. decembra lēmums par radiofrekvenču joslu 880–915 MHz, 925–960 MHz, 1710–1785 MHz un 1805–1880 MHz noteikšanu zemes IMT-2000/UMTS sistēmām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2009. gada 16. oktobra Lēmums </w:t>
            </w:r>
            <w:hyperlink r:id="rId28"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2010. gada 19. marta Lēmums </w:t>
            </w:r>
            <w:hyperlink r:id="rId29" w:tgtFrame="_blank" w:history="1">
              <w:r w:rsidRPr="002A2AE9">
                <w:rPr>
                  <w:rFonts w:eastAsia="Times New Roman" w:cs="Times New Roman"/>
                  <w:color w:val="0000FF"/>
                  <w:sz w:val="20"/>
                  <w:szCs w:val="20"/>
                  <w:u w:val="single"/>
                  <w:lang w:eastAsia="lv-LV"/>
                </w:rPr>
                <w:t>2010/166/ES</w:t>
              </w:r>
            </w:hyperlink>
            <w:r w:rsidRPr="002A2AE9">
              <w:rPr>
                <w:rFonts w:eastAsia="Times New Roman" w:cs="Times New Roman"/>
                <w:sz w:val="20"/>
                <w:szCs w:val="20"/>
                <w:lang w:eastAsia="lv-LV"/>
              </w:rPr>
              <w:t xml:space="preserve"> par harmonizētiem nosacījumiem radiofrekvenču spektra izmantošanai mobilo sakaru pakalpojumiem kuģos (MCV pakalpojumiem) Eiropas Savienībā</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2011. gada 18. aprīļa lēmums </w:t>
            </w:r>
            <w:hyperlink r:id="rId30" w:tgtFrame="_blank" w:history="1">
              <w:r w:rsidRPr="002A2AE9">
                <w:rPr>
                  <w:rFonts w:eastAsia="Times New Roman" w:cs="Times New Roman"/>
                  <w:color w:val="0000FF"/>
                  <w:sz w:val="20"/>
                  <w:szCs w:val="20"/>
                  <w:u w:val="single"/>
                  <w:lang w:eastAsia="lv-LV"/>
                </w:rPr>
                <w:t>2011/251/ES</w:t>
              </w:r>
            </w:hyperlink>
            <w:r w:rsidRPr="002A2AE9">
              <w:rPr>
                <w:rFonts w:eastAsia="Times New Roman" w:cs="Times New Roman"/>
                <w:sz w:val="20"/>
                <w:szCs w:val="20"/>
                <w:lang w:eastAsia="lv-LV"/>
              </w:rPr>
              <w:t xml:space="preserve">, ar ko izdara grozījumus lēmumā </w:t>
            </w:r>
            <w:hyperlink r:id="rId31"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 MHz un 1800 MHz frekvenču joslu harmonizāciju tādu sauszemes sistēmu vajadzībām, kas Kopienā 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2018. gada 20. aprīļa Īstenošanas lēmums </w:t>
            </w:r>
            <w:hyperlink r:id="rId32" w:tgtFrame="_blank" w:history="1">
              <w:r w:rsidRPr="002A2AE9">
                <w:rPr>
                  <w:rFonts w:eastAsia="Times New Roman" w:cs="Times New Roman"/>
                  <w:color w:val="0000FF"/>
                  <w:sz w:val="20"/>
                  <w:szCs w:val="20"/>
                  <w:u w:val="single"/>
                  <w:lang w:eastAsia="lv-LV"/>
                </w:rPr>
                <w:t>2018/637/ES</w:t>
              </w:r>
            </w:hyperlink>
            <w:r w:rsidRPr="002A2AE9">
              <w:rPr>
                <w:rFonts w:eastAsia="Times New Roman" w:cs="Times New Roman"/>
                <w:sz w:val="20"/>
                <w:szCs w:val="20"/>
                <w:lang w:eastAsia="lv-LV"/>
              </w:rPr>
              <w:t xml:space="preserve">, ar ko Lēmumu </w:t>
            </w:r>
            <w:hyperlink r:id="rId33"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 MHz un 1800 MHz frekvenču joslu harmonizāciju tādu sauszemes sistēmu vajadzībām, kas Kopienā spēj nodrošināt Eiropas mēroga elektronisko sakaru pakalpojumus, groza saistībā ar attiecīgiem tehniskajiem nosacījumiem lietu internetam</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Dupleksie kanāli (FB: 925–935 MHz)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Publiskie elektronisko sakaru tīkli</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Radiosaskarne RS LM.900</w:t>
            </w:r>
          </w:p>
        </w:tc>
      </w:tr>
      <w:tr w:rsidR="002A2AE9" w:rsidRPr="002A2AE9" w:rsidTr="00292A54">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243.</w:t>
            </w:r>
          </w:p>
        </w:tc>
        <w:tc>
          <w:tcPr>
            <w:tcW w:w="4703" w:type="pct"/>
            <w:gridSpan w:val="5"/>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before="100" w:beforeAutospacing="1" w:after="100" w:afterAutospacing="1" w:line="240" w:lineRule="auto"/>
              <w:jc w:val="both"/>
              <w:rPr>
                <w:rFonts w:eastAsia="Times New Roman" w:cs="Times New Roman"/>
                <w:b/>
                <w:bCs/>
                <w:sz w:val="20"/>
                <w:szCs w:val="20"/>
                <w:lang w:eastAsia="lv-LV"/>
              </w:rPr>
            </w:pPr>
            <w:r w:rsidRPr="002A2AE9">
              <w:rPr>
                <w:rFonts w:eastAsia="Times New Roman" w:cs="Times New Roman"/>
                <w:b/>
                <w:bCs/>
                <w:sz w:val="20"/>
                <w:szCs w:val="20"/>
                <w:lang w:eastAsia="lv-LV"/>
              </w:rPr>
              <w:t>890–942 MHz</w:t>
            </w:r>
          </w:p>
        </w:tc>
      </w:tr>
      <w:tr w:rsidR="002A2AE9" w:rsidRPr="002A2AE9" w:rsidTr="00292A54">
        <w:trPr>
          <w:tblCellSpacing w:w="15" w:type="dxa"/>
        </w:trPr>
        <w:tc>
          <w:tcPr>
            <w:tcW w:w="24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w:t>
            </w:r>
          </w:p>
        </w:tc>
        <w:tc>
          <w:tcPr>
            <w:tcW w:w="71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FIKSĒTAIS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MOBILAIS, izņemot gaisa kuģniecības mobilo 5.317A</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APRAIDES 5.322</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Radiolokācijas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5.323</w:t>
            </w:r>
          </w:p>
        </w:tc>
        <w:tc>
          <w:tcPr>
            <w:tcW w:w="717" w:type="pct"/>
            <w:vMerge w:val="restar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FIKSĒTAIS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MOBILAIS, izņemot gaisa kuģniecības mobilo 5.317A</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Radiolokācijas</w:t>
            </w: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IMT-2000/UMTS/LTE/ WiMAX/GSM/ML: 890–915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ERC/DEC/(94)01 – ERC 1994. gada 24. oktobra lēmums par frekvenču joslām, kuras nosakāmas </w:t>
            </w:r>
            <w:r w:rsidRPr="002A2AE9">
              <w:rPr>
                <w:rFonts w:eastAsia="Times New Roman" w:cs="Times New Roman"/>
                <w:sz w:val="20"/>
                <w:szCs w:val="20"/>
                <w:lang w:eastAsia="lv-LV"/>
              </w:rPr>
              <w:lastRenderedPageBreak/>
              <w:t xml:space="preserve">saskaņotai Viseiropas ciparu sakaru sistēmas GSM ieviešanai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ECC/REC/(05)08 – Frekvenču plānošana un frekvenču koordinēšana GSM 900, GSM 1800, E-GSM un GSM-R sauszemes mobilajām sistēmām (izņemot tiešo sakaru režīma (DMO) kanālus)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ECC/DEC/(06)13 – ECC 2006. gada 1. decembra lēmums par radiofrekvenču joslu 880-915 MHz, 925–960 MHz, 1710-1785 MHz un 1805-1880 MHz noteikšanu zemes IMT-2000/UMTS sistēmām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2009. gada 16. oktobra Lēmums </w:t>
            </w:r>
            <w:hyperlink r:id="rId34"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2010. gada 19. marta Lēmums </w:t>
            </w:r>
            <w:hyperlink r:id="rId35" w:tgtFrame="_blank" w:history="1">
              <w:r w:rsidRPr="002A2AE9">
                <w:rPr>
                  <w:rFonts w:eastAsia="Times New Roman" w:cs="Times New Roman"/>
                  <w:color w:val="0000FF"/>
                  <w:sz w:val="20"/>
                  <w:szCs w:val="20"/>
                  <w:u w:val="single"/>
                  <w:lang w:eastAsia="lv-LV"/>
                </w:rPr>
                <w:t>2010/166/ES</w:t>
              </w:r>
            </w:hyperlink>
            <w:r w:rsidRPr="002A2AE9">
              <w:rPr>
                <w:rFonts w:eastAsia="Times New Roman" w:cs="Times New Roman"/>
                <w:sz w:val="20"/>
                <w:szCs w:val="20"/>
                <w:lang w:eastAsia="lv-LV"/>
              </w:rPr>
              <w:t xml:space="preserve"> par harmonizētiem nosacījumiem radiofrekvenču spektra izmantošanai mobilo sakaru pakalpojumiem kuģos (MCV pakalpojumiem) Eiropas Savienībā</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2011. gada 18. aprīļa lēmums </w:t>
            </w:r>
            <w:hyperlink r:id="rId36" w:tgtFrame="_blank" w:history="1">
              <w:r w:rsidRPr="002A2AE9">
                <w:rPr>
                  <w:rFonts w:eastAsia="Times New Roman" w:cs="Times New Roman"/>
                  <w:color w:val="0000FF"/>
                  <w:sz w:val="20"/>
                  <w:szCs w:val="20"/>
                  <w:u w:val="single"/>
                  <w:lang w:eastAsia="lv-LV"/>
                </w:rPr>
                <w:t>2011/251/ES</w:t>
              </w:r>
            </w:hyperlink>
            <w:r w:rsidRPr="002A2AE9">
              <w:rPr>
                <w:rFonts w:eastAsia="Times New Roman" w:cs="Times New Roman"/>
                <w:sz w:val="20"/>
                <w:szCs w:val="20"/>
                <w:lang w:eastAsia="lv-LV"/>
              </w:rPr>
              <w:t xml:space="preserve">, ar ko izdara grozījumus lēmumā </w:t>
            </w:r>
            <w:hyperlink r:id="rId37"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w:t>
            </w:r>
            <w:r w:rsidRPr="002A2AE9">
              <w:rPr>
                <w:rFonts w:eastAsia="Times New Roman" w:cs="Times New Roman"/>
                <w:sz w:val="20"/>
                <w:szCs w:val="20"/>
                <w:lang w:eastAsia="lv-LV"/>
              </w:rPr>
              <w:lastRenderedPageBreak/>
              <w:t>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2018. gada 20. aprīļa Īstenošanas lēmums </w:t>
            </w:r>
            <w:hyperlink r:id="rId38" w:tgtFrame="_blank" w:history="1">
              <w:r w:rsidRPr="002A2AE9">
                <w:rPr>
                  <w:rFonts w:eastAsia="Times New Roman" w:cs="Times New Roman"/>
                  <w:color w:val="0000FF"/>
                  <w:sz w:val="20"/>
                  <w:szCs w:val="20"/>
                  <w:u w:val="single"/>
                  <w:lang w:eastAsia="lv-LV"/>
                </w:rPr>
                <w:t>2018/637/ES</w:t>
              </w:r>
            </w:hyperlink>
            <w:r w:rsidRPr="002A2AE9">
              <w:rPr>
                <w:rFonts w:eastAsia="Times New Roman" w:cs="Times New Roman"/>
                <w:sz w:val="20"/>
                <w:szCs w:val="20"/>
                <w:lang w:eastAsia="lv-LV"/>
              </w:rPr>
              <w:t xml:space="preserve">, ar ko Lēmumu </w:t>
            </w:r>
            <w:hyperlink r:id="rId39"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 MHz un 1800 MHz frekvenču joslu harmonizāciju tādu sauszemes sistēmu vajadzībām, kas Kopienā spēj nodrošināt Eiropas mēroga elektronisko sakaru pakalpojumus, groza saistībā ar attiecīgiem tehniskajiem nosacījumiem lietu internetam</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Dupleksie kanāli (FB: 935–960 MHz)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Publiskie elektronisko sakaru tīkli</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Radiosaskarne RS LM.900</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AS: 915-916 MHz</w:t>
            </w: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cs="Times New Roman"/>
                <w:sz w:val="20"/>
                <w:szCs w:val="20"/>
              </w:rPr>
            </w:pP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Josla iedalīta</w:t>
            </w:r>
            <w:r w:rsidR="0085604E">
              <w:rPr>
                <w:rFonts w:eastAsia="Times New Roman" w:cs="Times New Roman"/>
                <w:sz w:val="20"/>
                <w:szCs w:val="20"/>
                <w:lang w:eastAsia="lv-LV"/>
              </w:rPr>
              <w:t xml:space="preserve"> lietošanai valsts aizsardzībai</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916,1–918,9 MHz</w:t>
            </w:r>
            <w:r w:rsidRPr="002A2AE9" w:rsidDel="0096442D">
              <w:rPr>
                <w:rFonts w:eastAsia="Times New Roman" w:cs="Times New Roman"/>
                <w:sz w:val="20"/>
                <w:szCs w:val="20"/>
                <w:lang w:eastAsia="lv-LV"/>
              </w:rPr>
              <w:t xml:space="preserve"> </w:t>
            </w: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cs="Times New Roman"/>
                <w:sz w:val="20"/>
                <w:szCs w:val="20"/>
              </w:rPr>
              <w:t>Komisijas 2018. gada 11. oktobra Īstenošanas Lēmums (ES) 2018/1538 par radiofrekvenču spektra harmonizēšanu izmantošanai maza darbības attāluma ierīcēm 874–876 un 915–921 MHz frekvenču joslās</w:t>
            </w: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Radioidentifikācijas (RFID) ierīces</w:t>
            </w:r>
          </w:p>
        </w:tc>
      </w:tr>
      <w:tr w:rsidR="00292A54"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SRD: </w:t>
            </w:r>
          </w:p>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917,3–918,9 MHz;</w:t>
            </w:r>
          </w:p>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917,4–919,4 MHz</w:t>
            </w:r>
          </w:p>
          <w:p w:rsidR="002A2AE9" w:rsidRPr="002A2AE9" w:rsidRDefault="002A2AE9" w:rsidP="0043732C">
            <w:pPr>
              <w:spacing w:after="0" w:line="240" w:lineRule="auto"/>
              <w:jc w:val="both"/>
              <w:rPr>
                <w:rFonts w:eastAsia="Times New Roman" w:cs="Times New Roman"/>
                <w:sz w:val="20"/>
                <w:szCs w:val="20"/>
                <w:lang w:eastAsia="lv-LV"/>
              </w:rPr>
            </w:pP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cs="Times New Roman"/>
                <w:sz w:val="20"/>
                <w:szCs w:val="20"/>
              </w:rPr>
              <w:t>Komisijas 2018. gada 11. oktobra Īstenošanas Lēmums (ES) 2018/1538 par radiofrekvenču spektra harmonizēšanu izmantošanai maza darbības attāluma ierīcēm 874–876 un 915–921 MHz frekvenču joslās</w:t>
            </w: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cs="Times New Roman"/>
                <w:sz w:val="20"/>
                <w:szCs w:val="20"/>
              </w:rPr>
              <w:t>Nespecifiskas maza darbības attāluma ierīces</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SRD: 917,4–919,4 MHz</w:t>
            </w:r>
            <w:r w:rsidRPr="002A2AE9" w:rsidDel="0096442D">
              <w:rPr>
                <w:rFonts w:eastAsia="Times New Roman" w:cs="Times New Roman"/>
                <w:sz w:val="20"/>
                <w:szCs w:val="20"/>
                <w:lang w:eastAsia="lv-LV"/>
              </w:rPr>
              <w:t xml:space="preserve"> </w:t>
            </w:r>
          </w:p>
        </w:tc>
        <w:tc>
          <w:tcPr>
            <w:tcW w:w="1241"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cs="Times New Roman"/>
                <w:sz w:val="20"/>
                <w:szCs w:val="20"/>
              </w:rPr>
              <w:t>Komisijas 2018. gada 11. oktobra Īstenošanas Lēmums (ES) 2018/1538 par radiofrekvenču spektra harmonizēšanu izmantošanai maza darbības attāluma ierīcēm 874–876 un 915–921 MHz frekvenču joslās</w:t>
            </w:r>
          </w:p>
        </w:tc>
        <w:tc>
          <w:tcPr>
            <w:tcW w:w="1008" w:type="pct"/>
            <w:tcBorders>
              <w:top w:val="outset" w:sz="6" w:space="0" w:color="auto"/>
              <w:left w:val="outset" w:sz="6" w:space="0" w:color="auto"/>
              <w:bottom w:val="outset" w:sz="6" w:space="0" w:color="auto"/>
              <w:right w:val="outset" w:sz="6" w:space="0" w:color="auto"/>
            </w:tcBorders>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Platjoslas datu pārraides ierīces</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GSM-R/FB: 921–925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ECC/DEC/(02)05 - ECC 2002. gada 5. jūlija lēmums par </w:t>
            </w:r>
            <w:r w:rsidRPr="002A2AE9">
              <w:rPr>
                <w:rFonts w:eastAsia="Times New Roman" w:cs="Times New Roman"/>
                <w:sz w:val="20"/>
                <w:szCs w:val="20"/>
                <w:lang w:eastAsia="lv-LV"/>
              </w:rPr>
              <w:lastRenderedPageBreak/>
              <w:t xml:space="preserve">radiofrekvenču joslu noteikšanu un to pieejamību dzelzceļa sakaru sistēmām 876–880 MHz un 921-925 MHz frekvenču joslās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ECC/DEC/(02)09 - ECC 2002. gada 15. novembra lēmums par dzelzceļa sakaru sistēmas GSM R mobilo galiekārtu, kuras darbojas 876–880 MHz un 921-925 MHz radiofrekvenču joslās, brīvu apriti un lietošanu CEPT valstīs, paplašinot lēmuma ERC/DEC/(95)01 piemērošanas jomu</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ECC/DEC/(02)10 - ECC 2002. gada 15. novembra lēmums par dzelzceļa sakaru sistēmas GSM R mobilo galiekārtu, kuras darbojas 876–880 MHz un 921-925 MHz radiofrekvenču joslās atbrīvošanu no individuālajām atļaujām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ECC/REC/(05)08 – Frekvenču plānošana un frekvenču koordinēšana GSM 900, GSM 1800, E-GSM un GSM-R sauszemes mobilajām sistēmām (izņemot tiešo sakaru režīma (DMO) kanālus)</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Dupleksie kanāli (ML: 876–880 MHz)</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IMT-2000/UMTS/LTE/ WiMAX/E-GSM/FB: 925–935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ERC/DEC/(97)02 – ERC 1997. gada 21. marta lēmums par paplašinātām radiofrekvenču joslām, lietošanai Viseiropas ciparu sakaru sistēmai GSM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ECC/REC/(05)08 – Frekvenču plānošana un frekvenču koordinēšana GSM 900, GSM 1800, E-GSM un GSM-R sauszemes mobilajām sistēmām (izņemot tiešo </w:t>
            </w:r>
            <w:r w:rsidRPr="002A2AE9">
              <w:rPr>
                <w:rFonts w:eastAsia="Times New Roman" w:cs="Times New Roman"/>
                <w:sz w:val="20"/>
                <w:szCs w:val="20"/>
                <w:lang w:eastAsia="lv-LV"/>
              </w:rPr>
              <w:lastRenderedPageBreak/>
              <w:t>sakaru režīma (DMO) kanālus)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ECC/DEC/(06)13 – ECC 2006. gada 1. decembra lēmums par radiofrekvenču joslu 880-915 MHz, 925–960 MHz, 1710-1785 MHz un 1805-1880 MHz noteikšanu zemes IMT-2000/UMTS sistēmām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2009. gada 16. oktobra Lēmums </w:t>
            </w:r>
            <w:hyperlink r:id="rId40"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2010. gada 19. marta Lēmums </w:t>
            </w:r>
            <w:hyperlink r:id="rId41" w:tgtFrame="_blank" w:history="1">
              <w:r w:rsidRPr="002A2AE9">
                <w:rPr>
                  <w:rFonts w:eastAsia="Times New Roman" w:cs="Times New Roman"/>
                  <w:color w:val="0000FF"/>
                  <w:sz w:val="20"/>
                  <w:szCs w:val="20"/>
                  <w:u w:val="single"/>
                  <w:lang w:eastAsia="lv-LV"/>
                </w:rPr>
                <w:t>2010/166/ES</w:t>
              </w:r>
            </w:hyperlink>
            <w:r w:rsidRPr="002A2AE9">
              <w:rPr>
                <w:rFonts w:eastAsia="Times New Roman" w:cs="Times New Roman"/>
                <w:sz w:val="20"/>
                <w:szCs w:val="20"/>
                <w:lang w:eastAsia="lv-LV"/>
              </w:rPr>
              <w:t xml:space="preserve"> par harmonizētiem nosacījumiem radiofrekvenču spektra izmantošanai mobilo sakaru pakalpojumiem kuģos (MCV pakalpojumiem) Eiropas Savienībā</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2011. gada 18. aprīļa lēmums </w:t>
            </w:r>
            <w:hyperlink r:id="rId42" w:tgtFrame="_blank" w:history="1">
              <w:r w:rsidRPr="002A2AE9">
                <w:rPr>
                  <w:rFonts w:eastAsia="Times New Roman" w:cs="Times New Roman"/>
                  <w:color w:val="0000FF"/>
                  <w:sz w:val="20"/>
                  <w:szCs w:val="20"/>
                  <w:u w:val="single"/>
                  <w:lang w:eastAsia="lv-LV"/>
                </w:rPr>
                <w:t>2011/251/ES</w:t>
              </w:r>
            </w:hyperlink>
            <w:r w:rsidRPr="002A2AE9">
              <w:rPr>
                <w:rFonts w:eastAsia="Times New Roman" w:cs="Times New Roman"/>
                <w:sz w:val="20"/>
                <w:szCs w:val="20"/>
                <w:lang w:eastAsia="lv-LV"/>
              </w:rPr>
              <w:t xml:space="preserve">, ar ko izdara grozījumus lēmumā </w:t>
            </w:r>
            <w:hyperlink r:id="rId43"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Dupleksie kanāli (ML: 880–890 MHz)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Publiskie elektronisko sakaru tīkli</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Radiosaskarne RS LM.900</w:t>
            </w:r>
          </w:p>
        </w:tc>
      </w:tr>
      <w:tr w:rsidR="002A2AE9" w:rsidRPr="002A2AE9" w:rsidTr="00292A5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2AE9" w:rsidRPr="002A2AE9" w:rsidRDefault="002A2AE9" w:rsidP="0043732C">
            <w:pPr>
              <w:spacing w:after="0" w:line="240" w:lineRule="auto"/>
              <w:jc w:val="both"/>
              <w:rPr>
                <w:rFonts w:eastAsia="Times New Roman" w:cs="Times New Roman"/>
                <w:sz w:val="20"/>
                <w:szCs w:val="20"/>
                <w:lang w:eastAsia="lv-LV"/>
              </w:rPr>
            </w:pPr>
          </w:p>
        </w:tc>
        <w:tc>
          <w:tcPr>
            <w:tcW w:w="954"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IMT-2000/UMTS/LTE/ WiMAX/GSM/FB: 935–960 MHz</w:t>
            </w:r>
          </w:p>
        </w:tc>
        <w:tc>
          <w:tcPr>
            <w:tcW w:w="1241"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ERC/DEC/(94)01 – ERC 1994. gada 24. oktobra lēmums par frekvenču joslām, kuras nosakāmas saskaņotai Viseiropas ciparu sakaru sistēmas GSM ieviešanai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ECC/REC/(05)08 – Frekvenču plānošana un frekvenču koordinēšana GSM 900, GSM 1800, E-GSM un GSM-R sauszemes mobilajām sistēmām (izņemot tiešo sakaru režīma (DMO) kanālus)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ECC/DEC/(06)13 – ECC 2006. gada 1. decembra lēmums par radiofrekvenču joslu 880-915 MHz, 925–960 MHz, 1710-1785 MHz un 1805-1880 MHz noteikšanu zemes IMT-2000/UMTS sistēmām</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2009. gada 16. oktobra Lēmums </w:t>
            </w:r>
            <w:hyperlink r:id="rId44"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2010. gada 19. marta Lēmums </w:t>
            </w:r>
            <w:hyperlink r:id="rId45" w:tgtFrame="_blank" w:history="1">
              <w:r w:rsidRPr="002A2AE9">
                <w:rPr>
                  <w:rFonts w:eastAsia="Times New Roman" w:cs="Times New Roman"/>
                  <w:color w:val="0000FF"/>
                  <w:sz w:val="20"/>
                  <w:szCs w:val="20"/>
                  <w:u w:val="single"/>
                  <w:lang w:eastAsia="lv-LV"/>
                </w:rPr>
                <w:t>2010/166/ES</w:t>
              </w:r>
            </w:hyperlink>
            <w:r w:rsidRPr="002A2AE9">
              <w:rPr>
                <w:rFonts w:eastAsia="Times New Roman" w:cs="Times New Roman"/>
                <w:sz w:val="20"/>
                <w:szCs w:val="20"/>
                <w:lang w:eastAsia="lv-LV"/>
              </w:rPr>
              <w:t xml:space="preserve"> par harmonizētiem nosacījumiem radiofrekvenču spektra izmantošanai mobilo sakaru pakalpojumiem kuģos (MCV pakalpojumiem) Eiropas Savienībā</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 xml:space="preserve">Komisijas 2011. gada 18. aprīļa lēmums </w:t>
            </w:r>
            <w:hyperlink r:id="rId46" w:tgtFrame="_blank" w:history="1">
              <w:r w:rsidRPr="002A2AE9">
                <w:rPr>
                  <w:rFonts w:eastAsia="Times New Roman" w:cs="Times New Roman"/>
                  <w:color w:val="0000FF"/>
                  <w:sz w:val="20"/>
                  <w:szCs w:val="20"/>
                  <w:u w:val="single"/>
                  <w:lang w:eastAsia="lv-LV"/>
                </w:rPr>
                <w:t>2011/251/ES</w:t>
              </w:r>
            </w:hyperlink>
            <w:r w:rsidRPr="002A2AE9">
              <w:rPr>
                <w:rFonts w:eastAsia="Times New Roman" w:cs="Times New Roman"/>
                <w:sz w:val="20"/>
                <w:szCs w:val="20"/>
                <w:lang w:eastAsia="lv-LV"/>
              </w:rPr>
              <w:t xml:space="preserve">, ar ko izdara grozījumus lēmumā </w:t>
            </w:r>
            <w:hyperlink r:id="rId47" w:tgtFrame="_blank" w:history="1">
              <w:r w:rsidRPr="002A2AE9">
                <w:rPr>
                  <w:rFonts w:eastAsia="Times New Roman" w:cs="Times New Roman"/>
                  <w:color w:val="0000FF"/>
                  <w:sz w:val="20"/>
                  <w:szCs w:val="20"/>
                  <w:u w:val="single"/>
                  <w:lang w:eastAsia="lv-LV"/>
                </w:rPr>
                <w:t>2009/766/EK</w:t>
              </w:r>
            </w:hyperlink>
            <w:r w:rsidRPr="002A2AE9">
              <w:rPr>
                <w:rFonts w:eastAsia="Times New Roman" w:cs="Times New Roman"/>
                <w:sz w:val="20"/>
                <w:szCs w:val="20"/>
                <w:lang w:eastAsia="lv-LV"/>
              </w:rPr>
              <w:t xml:space="preserve"> par 900MHz un 1800MHz frekvenču joslu harmonizāciju tādu sauszemes sistēmu vajadzībām, kas Kopienā spēj nodrošināt Eiropas mēroga elektronisko sakaru pakalpojumus</w:t>
            </w:r>
          </w:p>
        </w:tc>
        <w:tc>
          <w:tcPr>
            <w:tcW w:w="1008" w:type="pct"/>
            <w:tcBorders>
              <w:top w:val="outset" w:sz="6" w:space="0" w:color="auto"/>
              <w:left w:val="outset" w:sz="6" w:space="0" w:color="auto"/>
              <w:bottom w:val="outset" w:sz="6" w:space="0" w:color="auto"/>
              <w:right w:val="outset" w:sz="6" w:space="0" w:color="auto"/>
            </w:tcBorders>
            <w:hideMark/>
          </w:tcPr>
          <w:p w:rsidR="002A2AE9" w:rsidRPr="002A2AE9" w:rsidRDefault="002A2AE9" w:rsidP="0043732C">
            <w:pPr>
              <w:spacing w:after="0"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 xml:space="preserve">Dupleksie kanāli (ML: 890–915 MHz) </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t>Publiskie elektronisko sakaru tīkli</w:t>
            </w:r>
          </w:p>
          <w:p w:rsidR="002A2AE9" w:rsidRPr="002A2AE9" w:rsidRDefault="002A2AE9" w:rsidP="0043732C">
            <w:pPr>
              <w:spacing w:before="100" w:beforeAutospacing="1" w:after="100" w:afterAutospacing="1" w:line="240" w:lineRule="auto"/>
              <w:jc w:val="both"/>
              <w:rPr>
                <w:rFonts w:eastAsia="Times New Roman" w:cs="Times New Roman"/>
                <w:sz w:val="20"/>
                <w:szCs w:val="20"/>
                <w:lang w:eastAsia="lv-LV"/>
              </w:rPr>
            </w:pPr>
            <w:r w:rsidRPr="002A2AE9">
              <w:rPr>
                <w:rFonts w:eastAsia="Times New Roman" w:cs="Times New Roman"/>
                <w:sz w:val="20"/>
                <w:szCs w:val="20"/>
                <w:lang w:eastAsia="lv-LV"/>
              </w:rPr>
              <w:lastRenderedPageBreak/>
              <w:t>Radiosaskarne RS LM.900</w:t>
            </w:r>
          </w:p>
        </w:tc>
      </w:tr>
    </w:tbl>
    <w:p w:rsidR="00D21712" w:rsidRDefault="002A2AE9" w:rsidP="0043732C">
      <w:pPr>
        <w:jc w:val="both"/>
      </w:pPr>
      <w:r>
        <w:lastRenderedPageBreak/>
        <w:t xml:space="preserve"> </w:t>
      </w:r>
      <w:r w:rsidR="008E5BBA">
        <w:t>“.</w:t>
      </w:r>
    </w:p>
    <w:p w:rsidR="007C0273" w:rsidRDefault="007C0273" w:rsidP="0043732C">
      <w:pPr>
        <w:pStyle w:val="ListParagraph"/>
        <w:numPr>
          <w:ilvl w:val="0"/>
          <w:numId w:val="2"/>
        </w:numPr>
        <w:jc w:val="both"/>
      </w:pPr>
      <w:r>
        <w:t>Izteikt 1.</w:t>
      </w:r>
      <w:r w:rsidR="007C04F6">
        <w:t> </w:t>
      </w:r>
      <w:r>
        <w:t>pielikuma</w:t>
      </w:r>
      <w:r w:rsidR="008E5BBA">
        <w:t xml:space="preserve"> 252., 253., 254. un 255. punktu šādā redakcijā:</w:t>
      </w:r>
    </w:p>
    <w:p w:rsidR="00CA25CD" w:rsidRDefault="00CA25CD" w:rsidP="0043732C">
      <w:pPr>
        <w:spacing w:after="0"/>
        <w:ind w:left="360"/>
        <w:jc w:val="both"/>
      </w:pPr>
      <w:r>
        <w:t>“</w:t>
      </w:r>
    </w:p>
    <w:tbl>
      <w:tblPr>
        <w:tblW w:w="521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1"/>
        <w:gridCol w:w="1360"/>
        <w:gridCol w:w="1384"/>
        <w:gridCol w:w="1634"/>
        <w:gridCol w:w="2058"/>
        <w:gridCol w:w="1731"/>
      </w:tblGrid>
      <w:tr w:rsidR="00A517A4" w:rsidRPr="00A517A4" w:rsidTr="00CA25CD">
        <w:tc>
          <w:tcPr>
            <w:tcW w:w="273"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A517A4" w:rsidRDefault="00BF4402" w:rsidP="0043732C">
            <w:pPr>
              <w:spacing w:after="0" w:line="240" w:lineRule="auto"/>
              <w:jc w:val="both"/>
              <w:rPr>
                <w:rFonts w:eastAsia="Times New Roman" w:cs="Times New Roman"/>
                <w:sz w:val="20"/>
                <w:szCs w:val="20"/>
                <w:lang w:eastAsia="lv-LV"/>
              </w:rPr>
            </w:pPr>
            <w:r w:rsidRPr="00A517A4">
              <w:rPr>
                <w:rFonts w:eastAsia="Times New Roman" w:cs="Times New Roman"/>
                <w:sz w:val="20"/>
                <w:szCs w:val="20"/>
                <w:lang w:eastAsia="lv-LV"/>
              </w:rPr>
              <w:t>252.</w:t>
            </w:r>
          </w:p>
        </w:tc>
        <w:tc>
          <w:tcPr>
            <w:tcW w:w="472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BF4402" w:rsidRPr="00A517A4" w:rsidRDefault="00BF4402" w:rsidP="0043732C">
            <w:pPr>
              <w:spacing w:after="0" w:line="240" w:lineRule="auto"/>
              <w:jc w:val="both"/>
              <w:rPr>
                <w:rFonts w:eastAsia="Times New Roman" w:cs="Times New Roman"/>
                <w:b/>
                <w:bCs/>
                <w:sz w:val="20"/>
                <w:szCs w:val="20"/>
                <w:lang w:eastAsia="lv-LV"/>
              </w:rPr>
            </w:pPr>
            <w:r w:rsidRPr="00A517A4">
              <w:rPr>
                <w:rFonts w:eastAsia="Times New Roman" w:cs="Times New Roman"/>
                <w:b/>
                <w:bCs/>
                <w:sz w:val="20"/>
                <w:szCs w:val="20"/>
                <w:lang w:eastAsia="lv-LV"/>
              </w:rPr>
              <w:t>1 427–1 429 MHz</w:t>
            </w:r>
          </w:p>
        </w:tc>
      </w:tr>
      <w:tr w:rsidR="00BF4402" w:rsidRPr="00BF4402" w:rsidTr="00CA25CD">
        <w:tc>
          <w:tcPr>
            <w:tcW w:w="27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 </w:t>
            </w:r>
          </w:p>
        </w:tc>
        <w:tc>
          <w:tcPr>
            <w:tcW w:w="787"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IZPLATĪJUMA DARBA (Zeme–izplatījums)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 5.338A</w:t>
            </w:r>
          </w:p>
        </w:tc>
        <w:tc>
          <w:tcPr>
            <w:tcW w:w="801"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IZPLATĪJUMA DARBA (Zeme–izplatījums)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 5.338A</w:t>
            </w: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Ciparu RRL: 1427–1452/1375–1400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CEPT T/R 13-01 – Ieteicamais kanālu plānojums fiksētajam dienestam joslā</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1–3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Radiosaskarne RS FX.014-2PP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FWA sistēmas</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ITU-R F.701 – Radiofrekvenču kanālu plānojums analogajām un ciparu punkta-daudzpunktu radio sistēmām, kuras izmanto radiofrekvenču joslas no 1,350–2,690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PMP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trike/>
                <w:sz w:val="20"/>
                <w:szCs w:val="20"/>
                <w:lang w:eastAsia="lv-LV"/>
              </w:rPr>
            </w:pPr>
            <w:r w:rsidRPr="00BF4402">
              <w:rPr>
                <w:rFonts w:eastAsia="Times New Roman" w:cs="Times New Roman"/>
                <w:sz w:val="20"/>
                <w:szCs w:val="20"/>
                <w:lang w:eastAsia="lv-LV"/>
              </w:rPr>
              <w:t>AS: 1427-1432 MHz</w:t>
            </w:r>
          </w:p>
          <w:p w:rsidR="00BF4402" w:rsidRPr="00BF4402" w:rsidRDefault="00BF4402" w:rsidP="0043732C">
            <w:pPr>
              <w:spacing w:after="0" w:line="240" w:lineRule="auto"/>
              <w:jc w:val="both"/>
              <w:rPr>
                <w:rFonts w:eastAsia="Times New Roman" w:cs="Times New Roman"/>
                <w:strike/>
                <w:sz w:val="20"/>
                <w:szCs w:val="20"/>
                <w:lang w:eastAsia="lv-LV"/>
              </w:rPr>
            </w:pP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trike/>
                <w:sz w:val="20"/>
                <w:szCs w:val="20"/>
                <w:lang w:eastAsia="lv-LV"/>
              </w:rPr>
            </w:pP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trike/>
                <w:sz w:val="20"/>
                <w:szCs w:val="20"/>
                <w:lang w:eastAsia="lv-LV"/>
              </w:rPr>
            </w:pPr>
            <w:r w:rsidRPr="00BF4402">
              <w:rPr>
                <w:rFonts w:eastAsia="Times New Roman" w:cs="Times New Roman"/>
                <w:sz w:val="20"/>
                <w:szCs w:val="20"/>
                <w:lang w:eastAsia="lv-LV"/>
              </w:rPr>
              <w:t>Josla iedalīta lietošanai valsts aizsardzībai</w:t>
            </w:r>
          </w:p>
        </w:tc>
      </w:tr>
      <w:tr w:rsidR="00BF4402" w:rsidRPr="00BF4402" w:rsidTr="00CA25CD">
        <w:tc>
          <w:tcPr>
            <w:tcW w:w="273"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253.</w:t>
            </w:r>
          </w:p>
        </w:tc>
        <w:tc>
          <w:tcPr>
            <w:tcW w:w="472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b/>
                <w:bCs/>
                <w:sz w:val="20"/>
                <w:szCs w:val="20"/>
                <w:lang w:eastAsia="lv-LV"/>
              </w:rPr>
            </w:pPr>
            <w:r w:rsidRPr="00BF4402">
              <w:rPr>
                <w:rFonts w:eastAsia="Times New Roman" w:cs="Times New Roman"/>
                <w:b/>
                <w:bCs/>
                <w:sz w:val="20"/>
                <w:szCs w:val="20"/>
                <w:lang w:eastAsia="lv-LV"/>
              </w:rPr>
              <w:t>1 429–1 452 MHz</w:t>
            </w:r>
          </w:p>
        </w:tc>
      </w:tr>
      <w:tr w:rsidR="00BF4402" w:rsidRPr="00BF4402" w:rsidTr="00CA25CD">
        <w:tc>
          <w:tcPr>
            <w:tcW w:w="27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 </w:t>
            </w:r>
          </w:p>
        </w:tc>
        <w:tc>
          <w:tcPr>
            <w:tcW w:w="787"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 5.342 5.338A</w:t>
            </w:r>
          </w:p>
        </w:tc>
        <w:tc>
          <w:tcPr>
            <w:tcW w:w="801"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 5.338A</w:t>
            </w: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Ciparu RRL: 1427–1452/1375–1400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CEPT T/R 13-01 – Ieteicamais kanālu plānojums fiksētajam dienestam joslā</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1–3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Radiosaskarne RS FX.014-2PP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FWA sistēmas</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ITU-R F.701 – Radiofrekvenču kanālu plānojums analogajām un ciparu punkta-daudzpunktu radio sistēmām, kuras izmanto radiofrekvenču joslas no 1,350–2,690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PMP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AS: 1427-1432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trike/>
                <w:sz w:val="20"/>
                <w:szCs w:val="20"/>
                <w:lang w:eastAsia="lv-LV"/>
              </w:rPr>
            </w:pPr>
            <w:r w:rsidRPr="00BF4402">
              <w:rPr>
                <w:rFonts w:eastAsia="Times New Roman" w:cs="Times New Roman"/>
                <w:sz w:val="20"/>
                <w:szCs w:val="20"/>
                <w:lang w:eastAsia="lv-LV"/>
              </w:rPr>
              <w:t>Josla iedalīta lietošanai valsts aizsardzībai</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Zemes sistēmas, kas spēj nodrošināt elektronisko sakaru pakalpojumus ES: 1432–1492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Komisijas 2018. gada 26. aprīļa Īstenošanas lēmums </w:t>
            </w:r>
            <w:hyperlink r:id="rId48" w:tgtFrame="_blank" w:history="1">
              <w:r w:rsidRPr="00BF4402">
                <w:rPr>
                  <w:rFonts w:eastAsia="Times New Roman" w:cs="Times New Roman"/>
                  <w:sz w:val="20"/>
                  <w:szCs w:val="20"/>
                  <w:u w:val="single"/>
                  <w:lang w:eastAsia="lv-LV"/>
                </w:rPr>
                <w:t>2018/661/ES</w:t>
              </w:r>
            </w:hyperlink>
            <w:r w:rsidRPr="00BF4402">
              <w:rPr>
                <w:rFonts w:eastAsia="Times New Roman" w:cs="Times New Roman"/>
                <w:sz w:val="20"/>
                <w:szCs w:val="20"/>
                <w:lang w:eastAsia="lv-LV"/>
              </w:rPr>
              <w:t xml:space="preserve">, ar ko Īstenošanas lēmumu (ES) 2015/750 par 1 452–1 492 MHz frekvenču joslas </w:t>
            </w:r>
            <w:r w:rsidRPr="00BF4402">
              <w:rPr>
                <w:rFonts w:eastAsia="Times New Roman" w:cs="Times New Roman"/>
                <w:sz w:val="20"/>
                <w:szCs w:val="20"/>
                <w:lang w:eastAsia="lv-LV"/>
              </w:rPr>
              <w:lastRenderedPageBreak/>
              <w:t>harmonizāciju tādu zemes sistēmu vajadzībām, kas Savienībā spēj nodrošināt elektronisko sakaru pakalpojumus, groza, to attiecinot arī uz harmonizēto 1 427–1 452 MHz un 1 492–1 517 MHz frekvenču joslu</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ECC/DEC/(17)06 – ECC 2017. gada 17. novembra lēmums par frekvenču joslu 1427–1452 MHz un 1492–1518 MHz harmonizētu izmantošanu mobilo/fiksēto sakaru tīkliem (MFCN) papildu lejuplīnijai (MFCN SDL)</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lastRenderedPageBreak/>
              <w:t>Publiskie elektronisko sakaru tīkli</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lastRenderedPageBreak/>
              <w:t>Radiosaskarne RS LM.1500</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 </w:t>
            </w:r>
          </w:p>
        </w:tc>
      </w:tr>
      <w:tr w:rsidR="00BF4402" w:rsidRPr="00BF4402" w:rsidTr="00CA25CD">
        <w:tc>
          <w:tcPr>
            <w:tcW w:w="273"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lastRenderedPageBreak/>
              <w:t>254.</w:t>
            </w:r>
          </w:p>
        </w:tc>
        <w:tc>
          <w:tcPr>
            <w:tcW w:w="472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b/>
                <w:bCs/>
                <w:sz w:val="20"/>
                <w:szCs w:val="20"/>
                <w:lang w:eastAsia="lv-LV"/>
              </w:rPr>
            </w:pPr>
            <w:r w:rsidRPr="00BF4402">
              <w:rPr>
                <w:rFonts w:eastAsia="Times New Roman" w:cs="Times New Roman"/>
                <w:b/>
                <w:bCs/>
                <w:sz w:val="20"/>
                <w:szCs w:val="20"/>
                <w:lang w:eastAsia="lv-LV"/>
              </w:rPr>
              <w:t>1 452–1 492 MHz</w:t>
            </w:r>
          </w:p>
        </w:tc>
      </w:tr>
      <w:tr w:rsidR="00BF4402" w:rsidRPr="00BF4402" w:rsidTr="00CA25CD">
        <w:tc>
          <w:tcPr>
            <w:tcW w:w="273"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 </w:t>
            </w:r>
          </w:p>
        </w:tc>
        <w:tc>
          <w:tcPr>
            <w:tcW w:w="787"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 5.346</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APRAIDES 5.345</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APRAIDES SATELĪTU 5.208B</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5.345 5.341 5.342</w:t>
            </w:r>
          </w:p>
        </w:tc>
        <w:tc>
          <w:tcPr>
            <w:tcW w:w="8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w:t>
            </w: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Zemes sistēmas, kas spēj nodrošināt elektronisko sakaru pakalpojumus ES: 1432–1492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Komisijas 2018. gada 26. aprīļa Īstenošanas lēmums </w:t>
            </w:r>
            <w:hyperlink r:id="rId49" w:tgtFrame="_blank" w:history="1">
              <w:r w:rsidRPr="00BF4402">
                <w:rPr>
                  <w:rFonts w:eastAsia="Times New Roman" w:cs="Times New Roman"/>
                  <w:sz w:val="20"/>
                  <w:szCs w:val="20"/>
                  <w:u w:val="single"/>
                  <w:lang w:eastAsia="lv-LV"/>
                </w:rPr>
                <w:t>2018/661/ES</w:t>
              </w:r>
            </w:hyperlink>
            <w:r w:rsidRPr="00BF4402">
              <w:rPr>
                <w:rFonts w:eastAsia="Times New Roman" w:cs="Times New Roman"/>
                <w:sz w:val="20"/>
                <w:szCs w:val="20"/>
                <w:lang w:eastAsia="lv-LV"/>
              </w:rPr>
              <w:t>, ar ko Īstenošanas lēmumu (ES) 2015/750 par 1 452–1 492 MHz frekvenču joslas harmonizāciju tādu zemes sistēmu vajadzībām, kas Savienībā spēj nodrošināt elektronisko sakaru pakalpojumus, groza, to attiecinot arī uz harmonizēto 1 427–1 452 MHz un 1 492–1 517 MHz frekvenču joslu</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 xml:space="preserve">ECC/DEC/(13)03 – ECC 2013. gada 8. novembra lēmums par frekvenču joslas 1452–1492 MHz harmonizētu izmantošanu </w:t>
            </w:r>
            <w:r w:rsidRPr="00BF4402">
              <w:rPr>
                <w:rFonts w:eastAsia="Times New Roman" w:cs="Times New Roman"/>
                <w:sz w:val="20"/>
                <w:szCs w:val="20"/>
                <w:lang w:eastAsia="lv-LV"/>
              </w:rPr>
              <w:lastRenderedPageBreak/>
              <w:t>mobilo/fiksēto sakaru tīkliem (MFCN) papildu lejuplīnijai (MFCN SDL)</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lastRenderedPageBreak/>
              <w:t>Publiskie elektronisko sakaru tīkli</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Radiosaskarne RS LM.1500</w:t>
            </w:r>
          </w:p>
          <w:p w:rsidR="00BF4402" w:rsidRPr="00BF4402" w:rsidRDefault="00BF4402" w:rsidP="0043732C">
            <w:pPr>
              <w:spacing w:before="100" w:beforeAutospacing="1" w:after="100" w:afterAutospacing="1" w:line="293" w:lineRule="atLeast"/>
              <w:jc w:val="both"/>
              <w:rPr>
                <w:rFonts w:eastAsia="Times New Roman" w:cs="Times New Roman"/>
                <w:strike/>
                <w:sz w:val="20"/>
                <w:szCs w:val="20"/>
                <w:lang w:eastAsia="lv-LV"/>
              </w:rPr>
            </w:pPr>
            <w:r w:rsidRPr="00BF4402">
              <w:rPr>
                <w:rFonts w:eastAsia="Times New Roman" w:cs="Times New Roman"/>
                <w:strike/>
                <w:sz w:val="20"/>
                <w:szCs w:val="20"/>
                <w:lang w:eastAsia="lv-LV"/>
              </w:rPr>
              <w:t> </w:t>
            </w:r>
          </w:p>
        </w:tc>
      </w:tr>
      <w:tr w:rsidR="00BF4402" w:rsidRPr="00BF4402" w:rsidTr="00CA25CD">
        <w:tc>
          <w:tcPr>
            <w:tcW w:w="273"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255.</w:t>
            </w:r>
          </w:p>
        </w:tc>
        <w:tc>
          <w:tcPr>
            <w:tcW w:w="472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b/>
                <w:bCs/>
                <w:sz w:val="20"/>
                <w:szCs w:val="20"/>
                <w:lang w:eastAsia="lv-LV"/>
              </w:rPr>
            </w:pPr>
            <w:r w:rsidRPr="00BF4402">
              <w:rPr>
                <w:rFonts w:eastAsia="Times New Roman" w:cs="Times New Roman"/>
                <w:b/>
                <w:bCs/>
                <w:sz w:val="20"/>
                <w:szCs w:val="20"/>
                <w:lang w:eastAsia="lv-LV"/>
              </w:rPr>
              <w:t>1 492–1 518 MHz</w:t>
            </w:r>
          </w:p>
        </w:tc>
      </w:tr>
      <w:tr w:rsidR="00BF4402" w:rsidRPr="00BF4402" w:rsidTr="00CA25CD">
        <w:tc>
          <w:tcPr>
            <w:tcW w:w="27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 </w:t>
            </w:r>
          </w:p>
        </w:tc>
        <w:tc>
          <w:tcPr>
            <w:tcW w:w="787"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 5.342</w:t>
            </w:r>
          </w:p>
        </w:tc>
        <w:tc>
          <w:tcPr>
            <w:tcW w:w="801"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FIKSĒTAIS</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MOBILAIS, izņemot gaisa kuģniecības mobilo</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5.341A 5.341</w:t>
            </w:r>
          </w:p>
        </w:tc>
        <w:tc>
          <w:tcPr>
            <w:tcW w:w="946"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Ciparu RRL: 1492–1517/1350-1375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CEPT T/R 13-01 – Ieteicamais kanālu plānojums fiksētajam dienestam joslā</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1–3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Radiosaskarne RS FX.014-1PP</w:t>
            </w:r>
          </w:p>
          <w:p w:rsidR="00BF4402" w:rsidRPr="00BF4402" w:rsidRDefault="00BF4402" w:rsidP="0043732C">
            <w:pPr>
              <w:spacing w:before="100" w:beforeAutospacing="1" w:after="100" w:afterAutospacing="1" w:line="293" w:lineRule="atLeast"/>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273" w:type="pct"/>
            <w:vMerge/>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p>
        </w:tc>
        <w:tc>
          <w:tcPr>
            <w:tcW w:w="787" w:type="pct"/>
            <w:vMerge/>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p>
        </w:tc>
        <w:tc>
          <w:tcPr>
            <w:tcW w:w="801" w:type="pct"/>
            <w:vMerge/>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FWA sistēmas: 1492–1506 MHz</w:t>
            </w:r>
          </w:p>
        </w:tc>
        <w:tc>
          <w:tcPr>
            <w:tcW w:w="1191" w:type="pct"/>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ITU-R F.701 – Radiofrekvenču kanālu plānojums analogajām un ciparu punkta-daudzpunktu radio sistēmām, kuras izmanto radiofrekvenču joslas no 1,350–2,690 GHz</w:t>
            </w:r>
          </w:p>
        </w:tc>
        <w:tc>
          <w:tcPr>
            <w:tcW w:w="1001" w:type="pct"/>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Konfigurācija: PMP</w:t>
            </w:r>
          </w:p>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Noslēguma jautājumi, 49. un 50. punkts</w:t>
            </w:r>
          </w:p>
        </w:tc>
      </w:tr>
      <w:tr w:rsidR="00BF4402" w:rsidRPr="00BF4402" w:rsidTr="00CA25CD">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p>
        </w:tc>
        <w:tc>
          <w:tcPr>
            <w:tcW w:w="946" w:type="pct"/>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AS</w:t>
            </w:r>
          </w:p>
        </w:tc>
        <w:tc>
          <w:tcPr>
            <w:tcW w:w="1191" w:type="pct"/>
            <w:tcBorders>
              <w:top w:val="outset" w:sz="6" w:space="0" w:color="414142"/>
              <w:left w:val="outset" w:sz="6" w:space="0" w:color="414142"/>
              <w:bottom w:val="outset" w:sz="6" w:space="0" w:color="414142"/>
              <w:right w:val="outset" w:sz="6" w:space="0" w:color="414142"/>
            </w:tcBorders>
            <w:shd w:val="clear" w:color="auto" w:fill="FFFFFF"/>
          </w:tcPr>
          <w:p w:rsidR="00BF4402" w:rsidRPr="00BF4402" w:rsidRDefault="00BF4402" w:rsidP="0043732C">
            <w:pPr>
              <w:spacing w:before="100" w:beforeAutospacing="1" w:after="100" w:afterAutospacing="1" w:line="293" w:lineRule="atLeast"/>
              <w:jc w:val="both"/>
              <w:rPr>
                <w:rFonts w:eastAsia="Times New Roman" w:cs="Times New Roman"/>
                <w:strike/>
                <w:sz w:val="20"/>
                <w:szCs w:val="20"/>
                <w:lang w:eastAsia="lv-LV"/>
              </w:rPr>
            </w:pPr>
          </w:p>
        </w:tc>
        <w:tc>
          <w:tcPr>
            <w:tcW w:w="1001" w:type="pct"/>
            <w:shd w:val="clear" w:color="auto" w:fill="FFFFFF"/>
            <w:vAlign w:val="center"/>
            <w:hideMark/>
          </w:tcPr>
          <w:p w:rsidR="00BF4402" w:rsidRPr="00BF4402" w:rsidRDefault="00BF4402" w:rsidP="0043732C">
            <w:pPr>
              <w:spacing w:after="0" w:line="240" w:lineRule="auto"/>
              <w:jc w:val="both"/>
              <w:rPr>
                <w:rFonts w:eastAsia="Times New Roman" w:cs="Times New Roman"/>
                <w:sz w:val="20"/>
                <w:szCs w:val="20"/>
                <w:lang w:eastAsia="lv-LV"/>
              </w:rPr>
            </w:pPr>
            <w:r w:rsidRPr="00BF4402">
              <w:rPr>
                <w:rFonts w:eastAsia="Times New Roman" w:cs="Times New Roman"/>
                <w:sz w:val="20"/>
                <w:szCs w:val="20"/>
                <w:lang w:eastAsia="lv-LV"/>
              </w:rPr>
              <w:t>Josla iedalīta lietošanai valsts aizsardzībai</w:t>
            </w:r>
          </w:p>
        </w:tc>
      </w:tr>
    </w:tbl>
    <w:p w:rsidR="005615FB" w:rsidRPr="00CA25CD" w:rsidRDefault="005615FB" w:rsidP="00222204">
      <w:pPr>
        <w:jc w:val="both"/>
        <w:rPr>
          <w:rFonts w:cs="Times New Roman"/>
          <w:color w:val="414142"/>
          <w:szCs w:val="28"/>
          <w:shd w:val="clear" w:color="auto" w:fill="FFFFFF"/>
        </w:rPr>
      </w:pPr>
      <w:r w:rsidRPr="00CA25CD">
        <w:rPr>
          <w:rFonts w:cs="Times New Roman"/>
          <w:color w:val="414142"/>
          <w:szCs w:val="28"/>
          <w:shd w:val="clear" w:color="auto" w:fill="FFFFFF"/>
        </w:rPr>
        <w:t>”.</w:t>
      </w:r>
    </w:p>
    <w:p w:rsidR="007C421C" w:rsidRDefault="007C421C" w:rsidP="0043732C">
      <w:pPr>
        <w:pStyle w:val="ListParagraph"/>
        <w:numPr>
          <w:ilvl w:val="0"/>
          <w:numId w:val="2"/>
        </w:numPr>
        <w:jc w:val="both"/>
      </w:pPr>
      <w:r>
        <w:t>Izteikt 1.pielikuma 296. un 297. punktu šādā redakcijā:</w:t>
      </w:r>
    </w:p>
    <w:p w:rsidR="007C421C" w:rsidRDefault="007C421C" w:rsidP="0043732C">
      <w:pPr>
        <w:spacing w:after="0"/>
        <w:jc w:val="both"/>
      </w:pPr>
      <w:r>
        <w:t>“</w:t>
      </w:r>
    </w:p>
    <w:tbl>
      <w:tblPr>
        <w:tblW w:w="5814" w:type="pct"/>
        <w:tblInd w:w="-717"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0"/>
        <w:gridCol w:w="1820"/>
        <w:gridCol w:w="1841"/>
        <w:gridCol w:w="1569"/>
        <w:gridCol w:w="2682"/>
        <w:gridCol w:w="1278"/>
      </w:tblGrid>
      <w:tr w:rsidR="007C421C" w:rsidRPr="007C421C" w:rsidTr="00FA4C57">
        <w:tc>
          <w:tcPr>
            <w:tcW w:w="233"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spacing w:after="0"/>
              <w:jc w:val="both"/>
              <w:rPr>
                <w:rFonts w:cs="Times New Roman"/>
                <w:sz w:val="20"/>
                <w:szCs w:val="20"/>
              </w:rPr>
            </w:pPr>
            <w:r w:rsidRPr="007C421C">
              <w:rPr>
                <w:rFonts w:cs="Times New Roman"/>
                <w:sz w:val="20"/>
                <w:szCs w:val="20"/>
              </w:rPr>
              <w:t>296.</w:t>
            </w:r>
          </w:p>
        </w:tc>
        <w:tc>
          <w:tcPr>
            <w:tcW w:w="476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pStyle w:val="tvhtml"/>
              <w:spacing w:after="0" w:afterAutospacing="0" w:line="293" w:lineRule="atLeast"/>
              <w:jc w:val="both"/>
              <w:rPr>
                <w:b/>
                <w:bCs/>
                <w:sz w:val="20"/>
                <w:szCs w:val="20"/>
              </w:rPr>
            </w:pPr>
            <w:r w:rsidRPr="007C421C">
              <w:rPr>
                <w:b/>
                <w:bCs/>
                <w:sz w:val="20"/>
                <w:szCs w:val="20"/>
              </w:rPr>
              <w:t>3 400–3 600 MHz</w:t>
            </w:r>
          </w:p>
        </w:tc>
      </w:tr>
      <w:tr w:rsidR="007C421C" w:rsidRPr="007C421C" w:rsidTr="00FA4C57">
        <w:tc>
          <w:tcPr>
            <w:tcW w:w="23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c>
          <w:tcPr>
            <w:tcW w:w="944"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FIKSĒTAIS FIKSĒTAIS SATELĪTU (</w:t>
            </w:r>
            <w:proofErr w:type="gramStart"/>
            <w:r w:rsidRPr="007C421C">
              <w:rPr>
                <w:rFonts w:cs="Times New Roman"/>
                <w:sz w:val="20"/>
                <w:szCs w:val="20"/>
              </w:rPr>
              <w:t>izplatījums– Z</w:t>
            </w:r>
            <w:proofErr w:type="gramEnd"/>
            <w:r w:rsidRPr="007C421C">
              <w:rPr>
                <w:rFonts w:cs="Times New Roman"/>
                <w:sz w:val="20"/>
                <w:szCs w:val="20"/>
              </w:rPr>
              <w:t>eme)</w:t>
            </w:r>
          </w:p>
          <w:p w:rsidR="007C421C" w:rsidRPr="007C421C" w:rsidRDefault="007C421C" w:rsidP="0043732C">
            <w:pPr>
              <w:pStyle w:val="tvhtml"/>
              <w:spacing w:line="293" w:lineRule="atLeast"/>
              <w:jc w:val="both"/>
              <w:rPr>
                <w:sz w:val="20"/>
                <w:szCs w:val="20"/>
              </w:rPr>
            </w:pPr>
            <w:r w:rsidRPr="007C421C">
              <w:rPr>
                <w:sz w:val="20"/>
                <w:szCs w:val="20"/>
              </w:rPr>
              <w:t>MOBILAIS, izņemot gaisa kuģniecības mobilo 5.430A</w:t>
            </w:r>
          </w:p>
          <w:p w:rsidR="007C421C" w:rsidRPr="007C421C" w:rsidRDefault="007C421C" w:rsidP="0043732C">
            <w:pPr>
              <w:pStyle w:val="tvhtml"/>
              <w:spacing w:line="293" w:lineRule="atLeast"/>
              <w:jc w:val="both"/>
              <w:rPr>
                <w:sz w:val="20"/>
                <w:szCs w:val="20"/>
              </w:rPr>
            </w:pPr>
            <w:r w:rsidRPr="007C421C">
              <w:rPr>
                <w:sz w:val="20"/>
                <w:szCs w:val="20"/>
              </w:rPr>
              <w:t>Radiolokācijas 5.431</w:t>
            </w:r>
          </w:p>
        </w:tc>
        <w:tc>
          <w:tcPr>
            <w:tcW w:w="955"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FIKSĒTAIS FIKSĒTAIS SATELĪTU (</w:t>
            </w:r>
            <w:proofErr w:type="gramStart"/>
            <w:r w:rsidRPr="007C421C">
              <w:rPr>
                <w:rFonts w:cs="Times New Roman"/>
                <w:sz w:val="20"/>
                <w:szCs w:val="20"/>
              </w:rPr>
              <w:t>izplatījums– Z</w:t>
            </w:r>
            <w:proofErr w:type="gramEnd"/>
            <w:r w:rsidRPr="007C421C">
              <w:rPr>
                <w:rFonts w:cs="Times New Roman"/>
                <w:sz w:val="20"/>
                <w:szCs w:val="20"/>
              </w:rPr>
              <w:t>eme)</w:t>
            </w:r>
          </w:p>
          <w:p w:rsidR="007C421C" w:rsidRPr="007C421C" w:rsidRDefault="007C421C" w:rsidP="0043732C">
            <w:pPr>
              <w:pStyle w:val="tvhtml"/>
              <w:spacing w:line="293" w:lineRule="atLeast"/>
              <w:jc w:val="both"/>
              <w:rPr>
                <w:sz w:val="20"/>
                <w:szCs w:val="20"/>
              </w:rPr>
            </w:pPr>
            <w:r w:rsidRPr="007C421C">
              <w:rPr>
                <w:sz w:val="20"/>
                <w:szCs w:val="20"/>
              </w:rPr>
              <w:t>MOBILAIS, izņemot gaisa kuģniecības mobilo 5.430A</w:t>
            </w:r>
          </w:p>
          <w:p w:rsidR="007C421C" w:rsidRPr="007C421C" w:rsidRDefault="007C421C" w:rsidP="0043732C">
            <w:pPr>
              <w:pStyle w:val="tvhtml"/>
              <w:spacing w:line="293" w:lineRule="atLeast"/>
              <w:jc w:val="both"/>
              <w:rPr>
                <w:sz w:val="20"/>
                <w:szCs w:val="20"/>
              </w:rPr>
            </w:pPr>
            <w:r w:rsidRPr="007C421C">
              <w:rPr>
                <w:sz w:val="20"/>
                <w:szCs w:val="20"/>
              </w:rPr>
              <w:t>Radiolokācijas</w:t>
            </w:r>
          </w:p>
          <w:p w:rsidR="007C421C" w:rsidRPr="007C421C" w:rsidRDefault="007C421C" w:rsidP="0043732C">
            <w:pPr>
              <w:pStyle w:val="tvhtml"/>
              <w:spacing w:line="293" w:lineRule="atLeast"/>
              <w:jc w:val="both"/>
              <w:rPr>
                <w:sz w:val="20"/>
                <w:szCs w:val="20"/>
              </w:rPr>
            </w:pPr>
            <w:r w:rsidRPr="007C421C">
              <w:rPr>
                <w:sz w:val="20"/>
                <w:szCs w:val="20"/>
              </w:rPr>
              <w:t>Radioamatieru</w:t>
            </w:r>
          </w:p>
          <w:p w:rsidR="007C421C" w:rsidRPr="007C421C" w:rsidRDefault="007C421C" w:rsidP="0043732C">
            <w:pPr>
              <w:pStyle w:val="tvhtml"/>
              <w:spacing w:line="293" w:lineRule="atLeast"/>
              <w:jc w:val="both"/>
              <w:rPr>
                <w:sz w:val="20"/>
                <w:szCs w:val="20"/>
              </w:rPr>
            </w:pPr>
            <w:r w:rsidRPr="007C421C">
              <w:rPr>
                <w:sz w:val="20"/>
                <w:szCs w:val="20"/>
              </w:rPr>
              <w:t xml:space="preserve">RR4.4: </w:t>
            </w:r>
          </w:p>
          <w:p w:rsidR="007C421C" w:rsidRPr="007C421C" w:rsidRDefault="007C421C" w:rsidP="0043732C">
            <w:pPr>
              <w:pStyle w:val="tvhtml"/>
              <w:spacing w:line="293" w:lineRule="atLeast"/>
              <w:jc w:val="both"/>
              <w:rPr>
                <w:sz w:val="20"/>
                <w:szCs w:val="20"/>
              </w:rPr>
            </w:pPr>
            <w:r w:rsidRPr="007C421C">
              <w:rPr>
                <w:sz w:val="20"/>
                <w:szCs w:val="20"/>
              </w:rPr>
              <w:t>3400-3410 MHz</w:t>
            </w: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BWA/IMT: 3400–3800 MHz</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Komisijas 2008. gada 21. maija Lēmums</w:t>
            </w:r>
            <w:r w:rsidR="00AC4993">
              <w:rPr>
                <w:rFonts w:cs="Times New Roman"/>
                <w:sz w:val="20"/>
                <w:szCs w:val="20"/>
              </w:rPr>
              <w:t xml:space="preserve"> </w:t>
            </w:r>
            <w:hyperlink r:id="rId50" w:tgtFrame="_blank" w:history="1">
              <w:r w:rsidRPr="007C421C">
                <w:rPr>
                  <w:rStyle w:val="Hyperlink"/>
                  <w:rFonts w:cs="Times New Roman"/>
                  <w:color w:val="auto"/>
                  <w:sz w:val="20"/>
                  <w:szCs w:val="20"/>
                </w:rPr>
                <w:t>2008/411/EK</w:t>
              </w:r>
            </w:hyperlink>
            <w:r w:rsidRPr="007C421C">
              <w:rPr>
                <w:rFonts w:cs="Times New Roman"/>
                <w:sz w:val="20"/>
                <w:szCs w:val="20"/>
              </w:rPr>
              <w:t> par 3400–3800 MHz frekvenču joslas harmonizāciju tādu zemes sistēmu vajadzībām, kas Kopienā spēj nodrošināt elektronisko sakaru pakalpojumus</w:t>
            </w:r>
          </w:p>
          <w:p w:rsidR="007C421C" w:rsidRPr="007C421C" w:rsidRDefault="007C421C" w:rsidP="0043732C">
            <w:pPr>
              <w:pStyle w:val="tvhtml"/>
              <w:spacing w:line="293" w:lineRule="atLeast"/>
              <w:jc w:val="both"/>
              <w:rPr>
                <w:sz w:val="20"/>
                <w:szCs w:val="20"/>
              </w:rPr>
            </w:pPr>
            <w:r w:rsidRPr="007C421C">
              <w:rPr>
                <w:sz w:val="20"/>
                <w:szCs w:val="20"/>
              </w:rPr>
              <w:t>Komisijas 2014. gada 2. maija īstenošanas Lēmums </w:t>
            </w:r>
            <w:hyperlink r:id="rId51" w:tgtFrame="_blank" w:history="1">
              <w:r w:rsidRPr="007C421C">
                <w:rPr>
                  <w:rStyle w:val="Hyperlink"/>
                  <w:color w:val="auto"/>
                  <w:sz w:val="20"/>
                  <w:szCs w:val="20"/>
                </w:rPr>
                <w:t>2014/276/ES</w:t>
              </w:r>
            </w:hyperlink>
            <w:r w:rsidRPr="007C421C">
              <w:rPr>
                <w:sz w:val="20"/>
                <w:szCs w:val="20"/>
              </w:rPr>
              <w:t xml:space="preserve"> par grozījumiem Lēmumā </w:t>
            </w:r>
            <w:hyperlink r:id="rId52" w:tgtFrame="_blank" w:history="1">
              <w:r w:rsidRPr="007C421C">
                <w:rPr>
                  <w:rStyle w:val="Hyperlink"/>
                  <w:color w:val="auto"/>
                  <w:sz w:val="20"/>
                  <w:szCs w:val="20"/>
                </w:rPr>
                <w:t>2008/411/EK</w:t>
              </w:r>
            </w:hyperlink>
            <w:r w:rsidRPr="007C421C">
              <w:rPr>
                <w:sz w:val="20"/>
                <w:szCs w:val="20"/>
              </w:rPr>
              <w:t xml:space="preserve"> par 3400–3800 MHz frekvenču joslas harmonizāciju tādu zemes sistēmu vajadzībām, kas Kopienā spēj nodrošināt </w:t>
            </w:r>
            <w:r w:rsidRPr="007C421C">
              <w:rPr>
                <w:sz w:val="20"/>
                <w:szCs w:val="20"/>
              </w:rPr>
              <w:lastRenderedPageBreak/>
              <w:t>elektronisko sakaru pakalpojumus</w:t>
            </w:r>
          </w:p>
          <w:p w:rsidR="007C421C" w:rsidRPr="007C421C" w:rsidRDefault="007C421C" w:rsidP="0043732C">
            <w:pPr>
              <w:pStyle w:val="tvhtml"/>
              <w:spacing w:line="293" w:lineRule="atLeast"/>
              <w:jc w:val="both"/>
              <w:rPr>
                <w:sz w:val="20"/>
                <w:szCs w:val="20"/>
              </w:rPr>
            </w:pPr>
            <w:r w:rsidRPr="007C421C">
              <w:rPr>
                <w:sz w:val="20"/>
                <w:szCs w:val="20"/>
              </w:rPr>
              <w:t>Komisijas 2019. gada 24. janvāra īstenošanas Lēmums (ES) 2019/235 par Lēmuma 2008/411/EK grozīšanu attiecībā uz atjauninājumiem 3400–3800 MHz frekvenču joslā piemērojamos attiecīgajos tehniskajos nosacījumos</w:t>
            </w:r>
          </w:p>
          <w:p w:rsidR="007C421C" w:rsidRPr="007C421C" w:rsidRDefault="007C421C" w:rsidP="0043732C">
            <w:pPr>
              <w:pStyle w:val="tvhtml"/>
              <w:spacing w:line="293" w:lineRule="atLeast"/>
              <w:jc w:val="both"/>
              <w:rPr>
                <w:sz w:val="20"/>
                <w:szCs w:val="20"/>
              </w:rPr>
            </w:pPr>
            <w:r w:rsidRPr="007C421C">
              <w:rPr>
                <w:sz w:val="20"/>
                <w:szCs w:val="20"/>
              </w:rPr>
              <w:t>ERC/REC 14-03 – Harmonizēts radiofrekvenču kanālu plānojums mazas un vidējas ietilpības sistēmām 3400–3600 MHz joslā (B2)</w:t>
            </w:r>
          </w:p>
          <w:p w:rsidR="007C421C" w:rsidRPr="007C421C" w:rsidRDefault="007C421C" w:rsidP="0043732C">
            <w:pPr>
              <w:pStyle w:val="tvhtml"/>
              <w:spacing w:line="293" w:lineRule="atLeast"/>
              <w:jc w:val="both"/>
              <w:rPr>
                <w:sz w:val="20"/>
                <w:szCs w:val="20"/>
              </w:rPr>
            </w:pPr>
            <w:r w:rsidRPr="007C421C">
              <w:rPr>
                <w:sz w:val="20"/>
                <w:szCs w:val="20"/>
              </w:rPr>
              <w:t>ECC/DEC/(11)06 – ECC 2011. gada 9. decembra lēmums par harmonizētiem kanālu plāniem mobilo/fiksēto sakaru tīkliem (MFCN), kas darbojas 3400–3600 MHz un 3600–3800 MHz radiofrekvenču joslās</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CB583F" w:rsidRDefault="007C421C" w:rsidP="0043732C">
            <w:pPr>
              <w:jc w:val="both"/>
              <w:rPr>
                <w:rFonts w:cs="Times New Roman"/>
                <w:sz w:val="20"/>
                <w:szCs w:val="20"/>
              </w:rPr>
            </w:pPr>
            <w:r w:rsidRPr="00CB583F">
              <w:rPr>
                <w:rFonts w:cs="Times New Roman"/>
                <w:sz w:val="20"/>
                <w:szCs w:val="20"/>
              </w:rPr>
              <w:lastRenderedPageBreak/>
              <w:t>Konfigurācija: MP,</w:t>
            </w:r>
          </w:p>
          <w:p w:rsidR="007C421C" w:rsidRPr="00CB583F" w:rsidRDefault="007C421C" w:rsidP="0043732C">
            <w:pPr>
              <w:pStyle w:val="tvhtml"/>
              <w:spacing w:line="293" w:lineRule="atLeast"/>
              <w:jc w:val="both"/>
              <w:rPr>
                <w:sz w:val="20"/>
                <w:szCs w:val="20"/>
              </w:rPr>
            </w:pPr>
            <w:r w:rsidRPr="00CB583F">
              <w:rPr>
                <w:sz w:val="20"/>
                <w:szCs w:val="20"/>
              </w:rPr>
              <w:t>Radiosaskarne RS FX.035MP</w:t>
            </w:r>
          </w:p>
          <w:p w:rsidR="007C421C" w:rsidRPr="00CB583F" w:rsidRDefault="007C421C" w:rsidP="0043732C">
            <w:pPr>
              <w:pStyle w:val="tvhtml"/>
              <w:spacing w:line="293" w:lineRule="atLeast"/>
              <w:jc w:val="both"/>
              <w:rPr>
                <w:sz w:val="20"/>
                <w:szCs w:val="20"/>
              </w:rPr>
            </w:pPr>
            <w:r w:rsidRPr="00CB583F">
              <w:rPr>
                <w:sz w:val="20"/>
                <w:szCs w:val="20"/>
              </w:rPr>
              <w:t>Radiosaskarne RS LM.3600</w:t>
            </w:r>
          </w:p>
          <w:p w:rsidR="007C421C" w:rsidRPr="00CB583F" w:rsidRDefault="007C421C" w:rsidP="0043732C">
            <w:pPr>
              <w:pStyle w:val="tvhtml"/>
              <w:spacing w:line="293" w:lineRule="atLeast"/>
              <w:jc w:val="both"/>
              <w:rPr>
                <w:sz w:val="20"/>
                <w:szCs w:val="20"/>
              </w:rPr>
            </w:pPr>
            <w:r w:rsidRPr="00CB583F">
              <w:rPr>
                <w:sz w:val="20"/>
                <w:szCs w:val="20"/>
              </w:rPr>
              <w:t>Radiosaskarne RS LM.3600-1</w:t>
            </w:r>
          </w:p>
          <w:p w:rsidR="007C421C" w:rsidRPr="007C421C" w:rsidRDefault="007C421C" w:rsidP="0043732C">
            <w:pPr>
              <w:pStyle w:val="tvhtml"/>
              <w:spacing w:line="293" w:lineRule="atLeast"/>
              <w:jc w:val="both"/>
              <w:rPr>
                <w:sz w:val="20"/>
                <w:szCs w:val="20"/>
              </w:rPr>
            </w:pPr>
            <w:r w:rsidRPr="007C421C">
              <w:rPr>
                <w:sz w:val="20"/>
                <w:szCs w:val="20"/>
              </w:rPr>
              <w:t>Publiskie elektronisko sakaru tīkli</w:t>
            </w:r>
          </w:p>
          <w:p w:rsidR="007C421C" w:rsidRPr="007C421C" w:rsidRDefault="007C421C" w:rsidP="0043732C">
            <w:pPr>
              <w:pStyle w:val="tvhtml"/>
              <w:spacing w:line="293" w:lineRule="atLeast"/>
              <w:jc w:val="both"/>
              <w:rPr>
                <w:sz w:val="20"/>
                <w:szCs w:val="20"/>
              </w:rPr>
            </w:pPr>
            <w:r w:rsidRPr="007C421C">
              <w:rPr>
                <w:sz w:val="20"/>
                <w:szCs w:val="20"/>
              </w:rPr>
              <w:lastRenderedPageBreak/>
              <w:t>Noslēguma jautājumi, 42.–47. punkts</w:t>
            </w:r>
          </w:p>
        </w:tc>
      </w:tr>
      <w:tr w:rsidR="007C421C" w:rsidTr="00FA4C57">
        <w:tc>
          <w:tcPr>
            <w:tcW w:w="233"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Default="007C421C" w:rsidP="0043732C">
            <w:pPr>
              <w:jc w:val="both"/>
              <w:rPr>
                <w:rFonts w:ascii="Arial" w:hAnsi="Arial" w:cs="Arial"/>
                <w:color w:val="414142"/>
                <w:sz w:val="20"/>
                <w:szCs w:val="20"/>
              </w:rPr>
            </w:pPr>
          </w:p>
        </w:tc>
        <w:tc>
          <w:tcPr>
            <w:tcW w:w="9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Default="007C421C" w:rsidP="0043732C">
            <w:pPr>
              <w:jc w:val="both"/>
              <w:rPr>
                <w:rFonts w:ascii="Arial" w:hAnsi="Arial" w:cs="Arial"/>
                <w:color w:val="414142"/>
                <w:sz w:val="20"/>
                <w:szCs w:val="20"/>
              </w:rPr>
            </w:pPr>
          </w:p>
        </w:tc>
        <w:tc>
          <w:tcPr>
            <w:tcW w:w="95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Default="007C421C" w:rsidP="0043732C">
            <w:pPr>
              <w:jc w:val="both"/>
              <w:rPr>
                <w:rFonts w:ascii="Arial" w:hAnsi="Arial" w:cs="Arial"/>
                <w:color w:val="414142"/>
                <w:sz w:val="20"/>
                <w:szCs w:val="20"/>
              </w:rPr>
            </w:pP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color w:val="414142"/>
                <w:sz w:val="20"/>
                <w:szCs w:val="20"/>
              </w:rPr>
            </w:pPr>
            <w:r w:rsidRPr="007C421C">
              <w:rPr>
                <w:rFonts w:cs="Times New Roman"/>
                <w:sz w:val="20"/>
                <w:szCs w:val="20"/>
              </w:rPr>
              <w:t>Radioamatieru radiostacijas: 3400-3410 MHz</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CEPT T/R 61-01 – CEPT radioamatieru atļauja</w:t>
            </w:r>
          </w:p>
          <w:p w:rsidR="007C421C" w:rsidRPr="007C421C" w:rsidRDefault="007C421C" w:rsidP="0043732C">
            <w:pPr>
              <w:pStyle w:val="tvhtml"/>
              <w:spacing w:line="293" w:lineRule="atLeast"/>
              <w:jc w:val="both"/>
              <w:rPr>
                <w:sz w:val="20"/>
                <w:szCs w:val="20"/>
              </w:rPr>
            </w:pPr>
            <w:r w:rsidRPr="007C421C">
              <w:rPr>
                <w:sz w:val="20"/>
                <w:szCs w:val="20"/>
              </w:rPr>
              <w:t>CEPT T/R 61-02 – Harmonizētās radioamatieru eksaminācijas apliecības</w:t>
            </w:r>
          </w:p>
          <w:p w:rsidR="007C421C" w:rsidRPr="007C421C" w:rsidRDefault="007C421C" w:rsidP="0043732C">
            <w:pPr>
              <w:pStyle w:val="tvhtml"/>
              <w:spacing w:line="293" w:lineRule="atLeast"/>
              <w:jc w:val="both"/>
              <w:rPr>
                <w:color w:val="414142"/>
                <w:sz w:val="20"/>
                <w:szCs w:val="20"/>
              </w:rPr>
            </w:pPr>
            <w:r w:rsidRPr="007C421C">
              <w:rPr>
                <w:sz w:val="20"/>
                <w:szCs w:val="20"/>
              </w:rPr>
              <w:t xml:space="preserve">Latvijas Republikas Ministru kabineta 2016. gada 9. augusta noteikumi Nr. 529 </w:t>
            </w:r>
            <w:r w:rsidRPr="007C421C">
              <w:rPr>
                <w:color w:val="414142"/>
                <w:sz w:val="20"/>
                <w:szCs w:val="20"/>
              </w:rPr>
              <w:t>"</w:t>
            </w:r>
            <w:hyperlink r:id="rId53" w:tgtFrame="_blank" w:history="1">
              <w:r w:rsidRPr="007C421C">
                <w:rPr>
                  <w:rStyle w:val="Hyperlink"/>
                  <w:color w:val="16497B"/>
                  <w:sz w:val="20"/>
                  <w:szCs w:val="20"/>
                </w:rPr>
                <w:t>Radioamatieru radiostaciju būvēšanas, ierīkošanas un lietošanas, kā arī radioamatieru apliecības saņemšanas kārtība</w:t>
              </w:r>
            </w:hyperlink>
            <w:r w:rsidRPr="007C421C">
              <w:rPr>
                <w:color w:val="414142"/>
                <w:sz w:val="20"/>
                <w:szCs w:val="20"/>
              </w:rPr>
              <w:t>"</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color w:val="414142"/>
                <w:sz w:val="20"/>
                <w:szCs w:val="20"/>
              </w:rPr>
            </w:pPr>
            <w:r w:rsidRPr="007C421C">
              <w:rPr>
                <w:rFonts w:cs="Times New Roman"/>
                <w:sz w:val="20"/>
                <w:szCs w:val="20"/>
              </w:rPr>
              <w:t>Radioamatieru dienesta radiostacijas</w:t>
            </w:r>
          </w:p>
        </w:tc>
      </w:tr>
      <w:tr w:rsidR="007C421C" w:rsidRPr="007C421C" w:rsidTr="00FA4C57">
        <w:tc>
          <w:tcPr>
            <w:tcW w:w="233"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sz w:val="20"/>
                <w:szCs w:val="20"/>
              </w:rPr>
            </w:pPr>
          </w:p>
        </w:tc>
        <w:tc>
          <w:tcPr>
            <w:tcW w:w="9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sz w:val="20"/>
                <w:szCs w:val="20"/>
              </w:rPr>
            </w:pPr>
          </w:p>
        </w:tc>
        <w:tc>
          <w:tcPr>
            <w:tcW w:w="95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sz w:val="20"/>
                <w:szCs w:val="20"/>
              </w:rPr>
            </w:pP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Uztverošās Zemes radiostacijas</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Ieteicamā josla 3800–4200 MHz</w:t>
            </w:r>
          </w:p>
        </w:tc>
      </w:tr>
      <w:tr w:rsidR="007C421C" w:rsidRPr="007C421C" w:rsidTr="00FA4C57">
        <w:tc>
          <w:tcPr>
            <w:tcW w:w="233"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297.</w:t>
            </w:r>
          </w:p>
        </w:tc>
        <w:tc>
          <w:tcPr>
            <w:tcW w:w="476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pStyle w:val="tvhtml"/>
              <w:spacing w:line="293" w:lineRule="atLeast"/>
              <w:jc w:val="both"/>
              <w:rPr>
                <w:b/>
                <w:bCs/>
                <w:sz w:val="20"/>
                <w:szCs w:val="20"/>
              </w:rPr>
            </w:pPr>
            <w:r w:rsidRPr="007C421C">
              <w:rPr>
                <w:b/>
                <w:bCs/>
                <w:sz w:val="20"/>
                <w:szCs w:val="20"/>
              </w:rPr>
              <w:t>3 600–4 200 MHz</w:t>
            </w:r>
          </w:p>
        </w:tc>
      </w:tr>
      <w:tr w:rsidR="007C421C" w:rsidRPr="007C421C" w:rsidTr="00FA4C57">
        <w:tc>
          <w:tcPr>
            <w:tcW w:w="23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color w:val="414142"/>
                <w:sz w:val="20"/>
                <w:szCs w:val="20"/>
              </w:rPr>
            </w:pPr>
            <w:r w:rsidRPr="007C421C">
              <w:rPr>
                <w:rFonts w:cs="Times New Roman"/>
                <w:color w:val="414142"/>
                <w:sz w:val="20"/>
                <w:szCs w:val="20"/>
              </w:rPr>
              <w:lastRenderedPageBreak/>
              <w:t> </w:t>
            </w:r>
          </w:p>
        </w:tc>
        <w:tc>
          <w:tcPr>
            <w:tcW w:w="944"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FIKSĒTAIS FIKSĒTAIS SATELĪTU (</w:t>
            </w:r>
            <w:proofErr w:type="gramStart"/>
            <w:r w:rsidRPr="007C421C">
              <w:rPr>
                <w:rFonts w:cs="Times New Roman"/>
                <w:sz w:val="20"/>
                <w:szCs w:val="20"/>
              </w:rPr>
              <w:t>izplatījums– Z</w:t>
            </w:r>
            <w:proofErr w:type="gramEnd"/>
            <w:r w:rsidRPr="007C421C">
              <w:rPr>
                <w:rFonts w:cs="Times New Roman"/>
                <w:sz w:val="20"/>
                <w:szCs w:val="20"/>
              </w:rPr>
              <w:t>eme)</w:t>
            </w:r>
          </w:p>
          <w:p w:rsidR="007C421C" w:rsidRPr="007C421C" w:rsidRDefault="007C421C" w:rsidP="0043732C">
            <w:pPr>
              <w:pStyle w:val="tvhtml"/>
              <w:spacing w:line="293" w:lineRule="atLeast"/>
              <w:jc w:val="both"/>
              <w:rPr>
                <w:sz w:val="20"/>
                <w:szCs w:val="20"/>
              </w:rPr>
            </w:pPr>
            <w:r w:rsidRPr="007C421C">
              <w:rPr>
                <w:sz w:val="20"/>
                <w:szCs w:val="20"/>
              </w:rPr>
              <w:t>Mobilais</w:t>
            </w:r>
          </w:p>
        </w:tc>
        <w:tc>
          <w:tcPr>
            <w:tcW w:w="955"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FIKSĒTAIS FIKSĒTAIS SATELĪTU (</w:t>
            </w:r>
            <w:proofErr w:type="gramStart"/>
            <w:r w:rsidRPr="007C421C">
              <w:rPr>
                <w:rFonts w:cs="Times New Roman"/>
                <w:sz w:val="20"/>
                <w:szCs w:val="20"/>
              </w:rPr>
              <w:t>izplatījums– Z</w:t>
            </w:r>
            <w:proofErr w:type="gramEnd"/>
            <w:r w:rsidRPr="007C421C">
              <w:rPr>
                <w:rFonts w:cs="Times New Roman"/>
                <w:sz w:val="20"/>
                <w:szCs w:val="20"/>
              </w:rPr>
              <w:t>eme)</w:t>
            </w:r>
          </w:p>
          <w:p w:rsidR="007C421C" w:rsidRPr="007C421C" w:rsidRDefault="007C421C" w:rsidP="0043732C">
            <w:pPr>
              <w:pStyle w:val="tvhtml"/>
              <w:spacing w:line="293" w:lineRule="atLeast"/>
              <w:jc w:val="both"/>
              <w:rPr>
                <w:sz w:val="20"/>
                <w:szCs w:val="20"/>
              </w:rPr>
            </w:pPr>
            <w:r w:rsidRPr="007C421C">
              <w:rPr>
                <w:sz w:val="20"/>
                <w:szCs w:val="20"/>
              </w:rPr>
              <w:t>MOBILAIS, izņemot gaisa kuģniecības mobilo</w:t>
            </w: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color w:val="414142"/>
                <w:sz w:val="20"/>
                <w:szCs w:val="20"/>
              </w:rPr>
            </w:pPr>
            <w:r w:rsidRPr="007C421C">
              <w:rPr>
                <w:rFonts w:cs="Times New Roman"/>
                <w:sz w:val="20"/>
                <w:szCs w:val="20"/>
              </w:rPr>
              <w:t>BWA/IMT: 3400–3800 MHz</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Komisijas 2008. gada 21. maija Lēmums </w:t>
            </w:r>
            <w:hyperlink r:id="rId54" w:tgtFrame="_blank" w:history="1">
              <w:r w:rsidRPr="007C421C">
                <w:rPr>
                  <w:rStyle w:val="Hyperlink"/>
                  <w:rFonts w:cs="Times New Roman"/>
                  <w:color w:val="auto"/>
                  <w:sz w:val="20"/>
                  <w:szCs w:val="20"/>
                </w:rPr>
                <w:t>2008/411/EK</w:t>
              </w:r>
            </w:hyperlink>
            <w:r w:rsidRPr="007C421C">
              <w:rPr>
                <w:rFonts w:cs="Times New Roman"/>
                <w:sz w:val="20"/>
                <w:szCs w:val="20"/>
              </w:rPr>
              <w:t> par 3400–3800 MHz frekvenču joslas harmonizāciju tādu zemes sistēmu vajadzībām, kas Kopienā spēj nodrošināt elektronisko sakaru pakalpojumus</w:t>
            </w:r>
          </w:p>
          <w:p w:rsidR="007C421C" w:rsidRPr="007C421C" w:rsidRDefault="007C421C" w:rsidP="0043732C">
            <w:pPr>
              <w:pStyle w:val="tvhtml"/>
              <w:spacing w:line="293" w:lineRule="atLeast"/>
              <w:jc w:val="both"/>
              <w:rPr>
                <w:sz w:val="20"/>
                <w:szCs w:val="20"/>
              </w:rPr>
            </w:pPr>
            <w:r w:rsidRPr="007C421C">
              <w:rPr>
                <w:sz w:val="20"/>
                <w:szCs w:val="20"/>
              </w:rPr>
              <w:t>Komisijas 2014. gada 2. maija īstenošanas Lēmums </w:t>
            </w:r>
            <w:hyperlink r:id="rId55" w:tgtFrame="_blank" w:history="1">
              <w:r w:rsidRPr="007C421C">
                <w:rPr>
                  <w:rStyle w:val="Hyperlink"/>
                  <w:color w:val="auto"/>
                  <w:sz w:val="20"/>
                  <w:szCs w:val="20"/>
                </w:rPr>
                <w:t>2014/276/ES</w:t>
              </w:r>
            </w:hyperlink>
            <w:r w:rsidRPr="007C421C">
              <w:rPr>
                <w:sz w:val="20"/>
                <w:szCs w:val="20"/>
              </w:rPr>
              <w:t xml:space="preserve"> par grozījumiem Lēmumā </w:t>
            </w:r>
            <w:hyperlink r:id="rId56" w:tgtFrame="_blank" w:history="1">
              <w:r w:rsidRPr="007C421C">
                <w:rPr>
                  <w:rStyle w:val="Hyperlink"/>
                  <w:color w:val="auto"/>
                  <w:sz w:val="20"/>
                  <w:szCs w:val="20"/>
                </w:rPr>
                <w:t>2008/411/EK</w:t>
              </w:r>
            </w:hyperlink>
            <w:r w:rsidRPr="007C421C">
              <w:rPr>
                <w:sz w:val="20"/>
                <w:szCs w:val="20"/>
              </w:rPr>
              <w:t xml:space="preserve"> par 3400–3800 MHz frekvenču joslas harmonizāciju tādu zemes sistēmu vajadzībām, kas Kopienā spēj nodrošināt elektronisko sakaru pakalpojumus</w:t>
            </w:r>
          </w:p>
          <w:p w:rsidR="007C421C" w:rsidRPr="007C421C" w:rsidRDefault="007C421C" w:rsidP="0043732C">
            <w:pPr>
              <w:pStyle w:val="tvhtml"/>
              <w:spacing w:line="293" w:lineRule="atLeast"/>
              <w:jc w:val="both"/>
              <w:rPr>
                <w:sz w:val="20"/>
                <w:szCs w:val="20"/>
              </w:rPr>
            </w:pPr>
            <w:r w:rsidRPr="007C421C">
              <w:rPr>
                <w:sz w:val="20"/>
                <w:szCs w:val="20"/>
              </w:rPr>
              <w:t>Komisijas 2019. gada 24. janvāra īstenošanas Lēmums (ES) 2019/235 par Lēmuma 2008/411/EK grozīšanu attiecībā uz atjauninājumiem 3400–3800 MHz frekvenču joslā piemērojamos attiecīgajos tehniskajos nosacījumos</w:t>
            </w:r>
          </w:p>
          <w:p w:rsidR="007C421C" w:rsidRPr="007C421C" w:rsidRDefault="007C421C" w:rsidP="0043732C">
            <w:pPr>
              <w:pStyle w:val="tvhtml"/>
              <w:spacing w:line="293" w:lineRule="atLeast"/>
              <w:jc w:val="both"/>
              <w:rPr>
                <w:sz w:val="20"/>
                <w:szCs w:val="20"/>
              </w:rPr>
            </w:pPr>
            <w:r w:rsidRPr="007C421C">
              <w:rPr>
                <w:sz w:val="20"/>
                <w:szCs w:val="20"/>
              </w:rPr>
              <w:t>ERC/REC 12-08 – Harmonizēts radiofrekvenču kanālu plānojums un frekvenču bloku sadalījums mazas, vidējas un augstas ietilpības sistēmām 3600–4200 MHz joslā (B2.2)</w:t>
            </w:r>
          </w:p>
          <w:p w:rsidR="007C421C" w:rsidRPr="007C421C" w:rsidRDefault="007C421C" w:rsidP="0043732C">
            <w:pPr>
              <w:pStyle w:val="tvhtml"/>
              <w:spacing w:line="293" w:lineRule="atLeast"/>
              <w:jc w:val="both"/>
              <w:rPr>
                <w:sz w:val="20"/>
                <w:szCs w:val="20"/>
              </w:rPr>
            </w:pPr>
            <w:r w:rsidRPr="007C421C">
              <w:rPr>
                <w:sz w:val="20"/>
                <w:szCs w:val="20"/>
              </w:rPr>
              <w:t>ECC/DEC/(11)06 – ECC 2011. gada 9. decembra lēmums par harmonizētiem kanālu plāniem mobilo/fiksēto sakaru tīkliem (MFCN), kas darbojas 3400–3600 MHz un 3600–3800 MHz radiofrekvenču joslās</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Konfigurācija: MP,</w:t>
            </w:r>
          </w:p>
          <w:p w:rsidR="007C421C" w:rsidRPr="007C421C" w:rsidRDefault="007C421C" w:rsidP="0043732C">
            <w:pPr>
              <w:pStyle w:val="tvhtml"/>
              <w:spacing w:line="293" w:lineRule="atLeast"/>
              <w:jc w:val="both"/>
              <w:rPr>
                <w:sz w:val="20"/>
                <w:szCs w:val="20"/>
              </w:rPr>
            </w:pPr>
            <w:r w:rsidRPr="007C421C">
              <w:rPr>
                <w:sz w:val="20"/>
                <w:szCs w:val="20"/>
              </w:rPr>
              <w:t>Radiosaskarne RS FX.035MP</w:t>
            </w:r>
          </w:p>
          <w:p w:rsidR="007C421C" w:rsidRPr="007C421C" w:rsidRDefault="007C421C" w:rsidP="0043732C">
            <w:pPr>
              <w:pStyle w:val="tvhtml"/>
              <w:spacing w:line="293" w:lineRule="atLeast"/>
              <w:jc w:val="both"/>
              <w:rPr>
                <w:sz w:val="20"/>
                <w:szCs w:val="20"/>
              </w:rPr>
            </w:pPr>
            <w:r w:rsidRPr="007C421C">
              <w:rPr>
                <w:sz w:val="20"/>
                <w:szCs w:val="20"/>
              </w:rPr>
              <w:t>Radiosaskarne RS LM.3600</w:t>
            </w:r>
          </w:p>
          <w:p w:rsidR="007C421C" w:rsidRPr="007C421C" w:rsidRDefault="007C421C" w:rsidP="0043732C">
            <w:pPr>
              <w:pStyle w:val="tvhtml"/>
              <w:spacing w:line="293" w:lineRule="atLeast"/>
              <w:jc w:val="both"/>
              <w:rPr>
                <w:sz w:val="20"/>
                <w:szCs w:val="20"/>
              </w:rPr>
            </w:pPr>
            <w:r w:rsidRPr="007C421C">
              <w:rPr>
                <w:sz w:val="20"/>
                <w:szCs w:val="20"/>
              </w:rPr>
              <w:t>Radiosaskarne RS LM.3600-1</w:t>
            </w:r>
          </w:p>
          <w:p w:rsidR="007C421C" w:rsidRPr="007C421C" w:rsidRDefault="007C421C" w:rsidP="0043732C">
            <w:pPr>
              <w:pStyle w:val="tvhtml"/>
              <w:spacing w:line="293" w:lineRule="atLeast"/>
              <w:jc w:val="both"/>
              <w:rPr>
                <w:sz w:val="20"/>
                <w:szCs w:val="20"/>
              </w:rPr>
            </w:pPr>
            <w:r w:rsidRPr="007C421C">
              <w:rPr>
                <w:sz w:val="20"/>
                <w:szCs w:val="20"/>
              </w:rPr>
              <w:t>Publiskie elektronisko sakaru tīkli</w:t>
            </w:r>
          </w:p>
          <w:p w:rsidR="007C421C" w:rsidRPr="007C421C" w:rsidRDefault="007C421C" w:rsidP="0043732C">
            <w:pPr>
              <w:pStyle w:val="tvhtml"/>
              <w:spacing w:line="293" w:lineRule="atLeast"/>
              <w:jc w:val="both"/>
              <w:rPr>
                <w:sz w:val="20"/>
                <w:szCs w:val="20"/>
              </w:rPr>
            </w:pPr>
            <w:r w:rsidRPr="007C421C">
              <w:rPr>
                <w:sz w:val="20"/>
                <w:szCs w:val="20"/>
              </w:rPr>
              <w:t>Noslēguma jautājumi, </w:t>
            </w:r>
            <w:hyperlink r:id="rId57" w:anchor="p42" w:tgtFrame="_blank" w:history="1">
              <w:r w:rsidRPr="007C421C">
                <w:rPr>
                  <w:rStyle w:val="Hyperlink"/>
                  <w:color w:val="auto"/>
                  <w:sz w:val="20"/>
                  <w:szCs w:val="20"/>
                </w:rPr>
                <w:t>42.</w:t>
              </w:r>
            </w:hyperlink>
            <w:r w:rsidRPr="007C421C">
              <w:rPr>
                <w:sz w:val="20"/>
                <w:szCs w:val="20"/>
              </w:rPr>
              <w:t>–</w:t>
            </w:r>
            <w:hyperlink r:id="rId58" w:anchor="p47" w:tgtFrame="_blank" w:history="1">
              <w:r w:rsidRPr="007C421C">
                <w:rPr>
                  <w:rStyle w:val="Hyperlink"/>
                  <w:color w:val="auto"/>
                  <w:sz w:val="20"/>
                  <w:szCs w:val="20"/>
                </w:rPr>
                <w:t>47. punkts</w:t>
              </w:r>
            </w:hyperlink>
          </w:p>
        </w:tc>
      </w:tr>
      <w:tr w:rsidR="007C421C" w:rsidRPr="007C421C" w:rsidTr="00FA4C57">
        <w:tc>
          <w:tcPr>
            <w:tcW w:w="233"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5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Uztverošās Zemes radiostacijas</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Ieteicamā josla 3800-4200 MHz</w:t>
            </w:r>
          </w:p>
        </w:tc>
      </w:tr>
      <w:tr w:rsidR="007C421C" w:rsidRPr="007C421C" w:rsidTr="00FA4C57">
        <w:tc>
          <w:tcPr>
            <w:tcW w:w="233"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5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VSAT: 3800–4200 MHz</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r>
      <w:tr w:rsidR="007C421C" w:rsidRPr="007C421C" w:rsidTr="00FA4C57">
        <w:tc>
          <w:tcPr>
            <w:tcW w:w="233"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95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C421C" w:rsidRPr="007C421C" w:rsidRDefault="007C421C" w:rsidP="0043732C">
            <w:pPr>
              <w:jc w:val="both"/>
              <w:rPr>
                <w:rFonts w:cs="Times New Roman"/>
                <w:color w:val="414142"/>
                <w:sz w:val="20"/>
                <w:szCs w:val="20"/>
              </w:rPr>
            </w:pPr>
          </w:p>
        </w:tc>
        <w:tc>
          <w:tcPr>
            <w:tcW w:w="814"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Izplatījuma sistēmas: 3700–4200 MHz</w:t>
            </w:r>
          </w:p>
        </w:tc>
        <w:tc>
          <w:tcPr>
            <w:tcW w:w="1391"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ECC/DEC/(05)09 – ECC 2005. gada 24. jūnija lēmums par kuģu Zemes staciju brīvu apriti un izmantošanu, kas darbojas fiksētā satelītu dienesta tīklos radiofrekvenču joslās 5925–6425 MHz (Zeme–izplatījums) un 3700–4200 MHz (izplatījums–Zeme)</w:t>
            </w:r>
          </w:p>
        </w:tc>
        <w:tc>
          <w:tcPr>
            <w:tcW w:w="662" w:type="pct"/>
            <w:tcBorders>
              <w:top w:val="outset" w:sz="6" w:space="0" w:color="414142"/>
              <w:left w:val="outset" w:sz="6" w:space="0" w:color="414142"/>
              <w:bottom w:val="outset" w:sz="6" w:space="0" w:color="414142"/>
              <w:right w:val="outset" w:sz="6" w:space="0" w:color="414142"/>
            </w:tcBorders>
            <w:shd w:val="clear" w:color="auto" w:fill="FFFFFF"/>
            <w:hideMark/>
          </w:tcPr>
          <w:p w:rsidR="007C421C" w:rsidRPr="007C421C" w:rsidRDefault="007C421C" w:rsidP="0043732C">
            <w:pPr>
              <w:jc w:val="both"/>
              <w:rPr>
                <w:rFonts w:cs="Times New Roman"/>
                <w:sz w:val="20"/>
                <w:szCs w:val="20"/>
              </w:rPr>
            </w:pPr>
            <w:r w:rsidRPr="007C421C">
              <w:rPr>
                <w:rFonts w:cs="Times New Roman"/>
                <w:sz w:val="20"/>
                <w:szCs w:val="20"/>
              </w:rPr>
              <w:t> </w:t>
            </w:r>
          </w:p>
        </w:tc>
      </w:tr>
    </w:tbl>
    <w:p w:rsidR="007C421C" w:rsidRPr="00CA25CD" w:rsidRDefault="008E5BBA" w:rsidP="00222204">
      <w:pPr>
        <w:jc w:val="both"/>
        <w:rPr>
          <w:rFonts w:cs="Times New Roman"/>
          <w:color w:val="414142"/>
          <w:szCs w:val="28"/>
          <w:shd w:val="clear" w:color="auto" w:fill="FFFFFF"/>
        </w:rPr>
      </w:pPr>
      <w:r w:rsidRPr="00CA25CD">
        <w:rPr>
          <w:rFonts w:cs="Times New Roman"/>
          <w:color w:val="414142"/>
          <w:szCs w:val="28"/>
          <w:shd w:val="clear" w:color="auto" w:fill="FFFFFF"/>
        </w:rPr>
        <w:t>”.</w:t>
      </w:r>
    </w:p>
    <w:p w:rsidR="007C421C" w:rsidRPr="007C04F6" w:rsidRDefault="007C421C" w:rsidP="0043732C">
      <w:pPr>
        <w:pStyle w:val="ListParagraph"/>
        <w:numPr>
          <w:ilvl w:val="0"/>
          <w:numId w:val="2"/>
        </w:numPr>
        <w:spacing w:after="0" w:line="240" w:lineRule="auto"/>
        <w:ind w:left="0" w:firstLine="567"/>
        <w:jc w:val="both"/>
        <w:rPr>
          <w:rFonts w:eastAsia="Times New Roman" w:cs="Times New Roman"/>
          <w:szCs w:val="28"/>
          <w:lang w:eastAsia="lv-LV"/>
        </w:rPr>
      </w:pPr>
      <w:r w:rsidRPr="007C04F6">
        <w:rPr>
          <w:rFonts w:cs="Times New Roman"/>
          <w:bCs/>
          <w:szCs w:val="28"/>
        </w:rPr>
        <w:t>Papildināt 1. pielikuma 373., 380., 381., 402. un 403. punkta piekto aili aiz teksta “</w:t>
      </w:r>
      <w:r w:rsidRPr="007C04F6">
        <w:rPr>
          <w:rFonts w:eastAsia="Times New Roman" w:cs="Times New Roman"/>
          <w:szCs w:val="28"/>
          <w:lang w:eastAsia="lv-LV"/>
        </w:rPr>
        <w:t>ECC/DEC/(13)01 – ECC 2013. gada 8. marta lēmums par Zemes staciju uz mobilām platformām (ESOMP) saskaņotu lietošanu, brīvu apriti un atbrīvošanu no individuālām atļaujām” ar tekstu “ECC/DEC/(15)04 – ECC 2015. gada 3. jūlija lēmums par sauszemes un jūras Zemes staciju uz mobilām platformām (ESOMP) saskaņotu lietošanu, brīvu apriti un atbrīvošanu no individuālām atļaujām”.</w:t>
      </w:r>
    </w:p>
    <w:p w:rsidR="00CB583F" w:rsidRPr="007C04F6" w:rsidRDefault="00CB583F" w:rsidP="0043732C">
      <w:pPr>
        <w:pStyle w:val="ListParagraph"/>
        <w:numPr>
          <w:ilvl w:val="0"/>
          <w:numId w:val="2"/>
        </w:numPr>
        <w:jc w:val="both"/>
        <w:rPr>
          <w:rFonts w:cs="Times New Roman"/>
          <w:bCs/>
          <w:szCs w:val="28"/>
        </w:rPr>
      </w:pPr>
      <w:r w:rsidRPr="007C04F6">
        <w:rPr>
          <w:rFonts w:cs="Times New Roman"/>
          <w:bCs/>
          <w:szCs w:val="28"/>
        </w:rPr>
        <w:t>Izteikt 2. pielikuma 2</w:t>
      </w:r>
      <w:r w:rsidRPr="007C04F6">
        <w:rPr>
          <w:rFonts w:cs="Times New Roman"/>
          <w:bCs/>
          <w:szCs w:val="28"/>
          <w:vertAlign w:val="superscript"/>
        </w:rPr>
        <w:t>1</w:t>
      </w:r>
      <w:r w:rsidRPr="007C04F6">
        <w:rPr>
          <w:rFonts w:cs="Times New Roman"/>
          <w:bCs/>
          <w:szCs w:val="28"/>
        </w:rPr>
        <w:t>. punktu šādā redakcijā:</w:t>
      </w:r>
    </w:p>
    <w:p w:rsidR="00CB583F" w:rsidRPr="00CB583F" w:rsidRDefault="00CB583F" w:rsidP="00222204">
      <w:pPr>
        <w:spacing w:after="120" w:line="240" w:lineRule="auto"/>
        <w:jc w:val="both"/>
        <w:rPr>
          <w:rFonts w:cs="Times New Roman"/>
          <w:b/>
          <w:bCs/>
          <w:sz w:val="24"/>
          <w:szCs w:val="24"/>
        </w:rPr>
      </w:pPr>
      <w:r>
        <w:rPr>
          <w:rFonts w:cs="Times New Roman"/>
          <w:b/>
          <w:bCs/>
          <w:sz w:val="24"/>
          <w:szCs w:val="24"/>
        </w:rPr>
        <w:t>“</w:t>
      </w:r>
      <w:r w:rsidRPr="00CB583F">
        <w:rPr>
          <w:rFonts w:cs="Times New Roman"/>
          <w:b/>
          <w:bCs/>
          <w:sz w:val="24"/>
          <w:szCs w:val="24"/>
        </w:rPr>
        <w:t>2.</w:t>
      </w:r>
      <w:r w:rsidRPr="00CB583F">
        <w:rPr>
          <w:rFonts w:cs="Times New Roman"/>
          <w:b/>
          <w:bCs/>
          <w:sz w:val="24"/>
          <w:szCs w:val="24"/>
          <w:vertAlign w:val="superscript"/>
        </w:rPr>
        <w:t>1</w:t>
      </w:r>
      <w:r w:rsidRPr="00CB583F">
        <w:rPr>
          <w:rFonts w:cs="Times New Roman"/>
          <w:b/>
          <w:bCs/>
          <w:sz w:val="24"/>
          <w:szCs w:val="24"/>
        </w:rPr>
        <w:t> Radiosaskarne RS LM.1500</w:t>
      </w:r>
    </w:p>
    <w:tbl>
      <w:tblPr>
        <w:tblW w:w="521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544"/>
        <w:gridCol w:w="2086"/>
        <w:gridCol w:w="2460"/>
        <w:gridCol w:w="3548"/>
      </w:tblGrid>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Nr. p. k.</w:t>
            </w:r>
          </w:p>
        </w:tc>
        <w:tc>
          <w:tcPr>
            <w:tcW w:w="120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Parametrs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Apraksts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Komentāri</w:t>
            </w:r>
          </w:p>
        </w:tc>
      </w:tr>
      <w:tr w:rsidR="00CB583F" w:rsidRPr="00CB583F" w:rsidTr="00CF5C34">
        <w:tc>
          <w:tcPr>
            <w:tcW w:w="5000" w:type="pct"/>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Normatīvā daļa</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Radiosakaru dienests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Sauszemes mobilais, fiksētais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867D83">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2.</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Piemērošana</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Zemes radiosakaru sistēmas, kas Savienībā spēj nodrošināt elektronisko sakaru pakalpojumus: IMT</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Bezvadu piekļuve, platjoslas elektronisko sakaru pakalpojumi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3.</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Frekvenču josla</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1432–1492 MHz</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DB41D7">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4.</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Kanālu sadalījums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Bāzes stacijas papildu lejuplīnijas raidīšanas režīms (SDL)</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Atbilstoši Komisijas 2018. gada 26. aprīļa Īstenošanas lēmuma </w:t>
            </w:r>
            <w:hyperlink r:id="rId59"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xml:space="preserve">, ar ko Īstenošanas lēmumu (ES) 2015/750 par 1452–1492 MHz frekvenču joslas harmonizāciju tādu zemes sistēmu vajadzībām, kas Savienībā </w:t>
            </w:r>
            <w:r w:rsidRPr="00CB583F">
              <w:rPr>
                <w:rFonts w:eastAsia="Times New Roman" w:cs="Times New Roman"/>
                <w:sz w:val="24"/>
                <w:szCs w:val="24"/>
                <w:lang w:eastAsia="lv-LV"/>
              </w:rPr>
              <w:lastRenderedPageBreak/>
              <w:t>spēj nodrošināt elektronisko sakaru pakalpojumus, groza, to attiecinot arī uz harmonizēto 1427–1452 MHz un 1492–1517 MHz frekvenču joslu (turpmāk – Lēmums </w:t>
            </w:r>
            <w:hyperlink r:id="rId60"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pielikuma A daļai.</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Piešķirtajiem bloku lielumiem ir jābūt 5 MHz daudzkārtņiem.</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Piešķirtā bloka zemākā robežfrekvence sakrīt ar 1432 MHz joslas apakšējo malu vai ir atdalīta no tās ar 5 MHz daudzkārtņiem</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lastRenderedPageBreak/>
              <w:t>5.</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Modulācija/aizņemtā frekvenču josla</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Ciparu</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DB41D7">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6.</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Virziens/nodalīšana</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DB41D7">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Nav definēts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DB41D7">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7.</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Pārraides jauda/ jaudas blīvums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Tiek noteikta individuāli katram radiofrekvences piešķīrumam</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Bāzes stacijas raidīšanai 1432–1492 MHz joslas ietvaros ir jāatbilst Lēmuma </w:t>
            </w:r>
            <w:hyperlink r:id="rId61"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xml:space="preserve"> pielikuma bloka malas maskām (BEM).</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 Bāzes stacijas e.i.r.p. robežvērtības bloka ietvaros – atbilstoši Lēmuma </w:t>
            </w:r>
            <w:hyperlink r:id="rId62" w:tgtFrame="_blank" w:history="1">
              <w:r w:rsidRPr="00CB583F">
                <w:rPr>
                  <w:rFonts w:eastAsia="Times New Roman" w:cs="Times New Roman"/>
                  <w:sz w:val="24"/>
                  <w:szCs w:val="24"/>
                  <w:lang w:eastAsia="lv-LV"/>
                </w:rPr>
                <w:t>2018/661/ES</w:t>
              </w:r>
            </w:hyperlink>
            <w:r w:rsidR="006035A1">
              <w:rPr>
                <w:rFonts w:eastAsia="Times New Roman" w:cs="Times New Roman"/>
                <w:sz w:val="24"/>
                <w:szCs w:val="24"/>
                <w:lang w:eastAsia="lv-LV"/>
              </w:rPr>
              <w:t xml:space="preserve"> </w:t>
            </w:r>
            <w:r w:rsidRPr="00CB583F">
              <w:rPr>
                <w:rFonts w:eastAsia="Times New Roman" w:cs="Times New Roman"/>
                <w:sz w:val="24"/>
                <w:szCs w:val="24"/>
                <w:lang w:eastAsia="lv-LV"/>
              </w:rPr>
              <w:t>pielikuma B daļai (jaudas robežvērtību bloka ietvaros piemēro blokam, kas piešķirts operatoram). Maksimālā e.i.r.p. bloka ietvaros, katrai šūnai 68 dBm/5 MHz.</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2. Bāzes stacijas ārpusbloka BEM e.i.r.p. robežvērtības – atbilstoši Lēmuma </w:t>
            </w:r>
            <w:hyperlink r:id="rId63"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xml:space="preserve"> pielikuma B daļas 2. tabulai (bāzes stacijas BEM ārpusbloka e.i.r.p. robežvērtības katrai antenai 1432–1492 MHz frekvenču joslā).</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3. Bāzes stacijas ārpusjoslas e.i.r.p. robežvērtības uz šūnu – atbilstoši Lēmuma </w:t>
            </w:r>
            <w:hyperlink r:id="rId64"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xml:space="preserve"> pielikuma B daļas 5. tabulai (bāzes stacijas ārpusjoslas e.i.r.p. robežvērtības uz šūnu zem 1452 MHz un virs 1492 MHz bāzes stacijām, kas darbojas 1452–1492 MHz frekvenču joslā).</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5. tabulas skaidrojums – šīs prasības ir piemērojamas, ja bezvadu platjoslas elektronisko sakaru pakalpojumu sistēmas netiek izmantotas ne zem 1452 MHz, ne virs 1492 MHz.</w:t>
            </w:r>
          </w:p>
          <w:p w:rsid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lastRenderedPageBreak/>
              <w:t>4. Bāzes stacijas nevēlamu izs</w:t>
            </w:r>
            <w:r w:rsidR="00DB41D7">
              <w:rPr>
                <w:rFonts w:eastAsia="Times New Roman" w:cs="Times New Roman"/>
                <w:sz w:val="24"/>
                <w:szCs w:val="24"/>
                <w:lang w:eastAsia="lv-LV"/>
              </w:rPr>
              <w:t>tarojumu jaudas robežvērtības – </w:t>
            </w:r>
            <w:r w:rsidRPr="00CB583F">
              <w:rPr>
                <w:rFonts w:eastAsia="Times New Roman" w:cs="Times New Roman"/>
                <w:sz w:val="24"/>
                <w:szCs w:val="24"/>
                <w:lang w:eastAsia="lv-LV"/>
              </w:rPr>
              <w:t>atbilstoši Lēmuma </w:t>
            </w:r>
            <w:hyperlink r:id="rId65"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xml:space="preserve"> pielikuma B daļas 3. tabulai (bāzes stacijas nevēlamu izstarojumu jaudas robežvērtības 1400–1427 MHz frekvenču joslā bāzes stacijām, kas darbojas 1432–1452 MHz frekvenču joslā).</w:t>
            </w:r>
          </w:p>
          <w:p w:rsidR="00DB41D7" w:rsidRPr="00CB583F" w:rsidRDefault="00DB41D7" w:rsidP="0043732C">
            <w:pPr>
              <w:spacing w:after="0" w:line="240" w:lineRule="auto"/>
              <w:jc w:val="both"/>
              <w:rPr>
                <w:rFonts w:eastAsia="Times New Roman" w:cs="Times New Roman"/>
                <w:sz w:val="24"/>
                <w:szCs w:val="24"/>
                <w:lang w:eastAsia="lv-LV"/>
              </w:rPr>
            </w:pPr>
          </w:p>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Par nevēlamo izstarojumu jaudas līmeni uzskata līmeni, kas izmērīts antenas pieslēgvietā.</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Šī prasība ir paredzēta, lai aizsargātu radioastronomijas un pasīvo Zemes izpētes satelītu dienestus 1400–1427 MHz pasīvajā frekvenču joslā.</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Vairāku sektoru stacijā vērtība "katrai šūnai" atbilst vērtībai vienam no sektoriem.</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BEM ir jāizpilda, lai nodrošinātu kaimiņtīklu līdzāspastāvēšanu, ja starp šādu kaimiņtīklu operatoriem nav divpusēju vai daudzpusēju nolīgumu. Var izmantot arī mazāk ierobežojošus tehniskos parametrus, ja par to vienojas attiecīgo tīklu operatori.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lastRenderedPageBreak/>
              <w:t>8.</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Kanāla piekļuves un lietošanas noteikumi</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Atbilstoši Lēmuma </w:t>
            </w:r>
            <w:hyperlink r:id="rId66" w:tgtFrame="_blank" w:history="1">
              <w:r w:rsidRPr="00CB583F">
                <w:rPr>
                  <w:rFonts w:eastAsia="Times New Roman" w:cs="Times New Roman"/>
                  <w:sz w:val="24"/>
                  <w:szCs w:val="24"/>
                  <w:lang w:eastAsia="lv-LV"/>
                </w:rPr>
                <w:t>2018/661/ES</w:t>
              </w:r>
            </w:hyperlink>
            <w:r w:rsidRPr="00CB583F">
              <w:rPr>
                <w:rFonts w:eastAsia="Times New Roman" w:cs="Times New Roman"/>
                <w:sz w:val="24"/>
                <w:szCs w:val="24"/>
                <w:lang w:eastAsia="lv-LV"/>
              </w:rPr>
              <w:t> A daļā norādītajām bāzes stacijas raidīšanas (tikai lejuplīnijas) režīms (SDL).</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Raidīšanas frekvences:</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FB: SDL: 1432–1492 MHz</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Jānodrošina pietiekama blakusjoslu sistēmu aizsardzība</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9.</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Atļaujas piešķiršanas procedūra</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Individuāls radiofrekvences piešķīrums bāzes stacijai un bāzes stacijas retranslatoram</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DB41D7">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10.</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Būtiskas papildu prasības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Nav noteikts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DB41D7">
              <w:rPr>
                <w:rFonts w:eastAsia="Times New Roman" w:cs="Times New Roman"/>
                <w:sz w:val="24"/>
                <w:szCs w:val="24"/>
                <w:lang w:eastAsia="lv-LV"/>
              </w:rPr>
              <w:t>Nav definēts</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11.</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Frekvenču diapazona plānojuma apsvērumi</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Komisijas Lēmums </w:t>
            </w:r>
            <w:hyperlink r:id="rId67" w:tgtFrame="_blank" w:history="1">
              <w:r w:rsidRPr="00CB583F">
                <w:rPr>
                  <w:rFonts w:eastAsia="Times New Roman" w:cs="Times New Roman"/>
                  <w:sz w:val="24"/>
                  <w:szCs w:val="24"/>
                  <w:lang w:eastAsia="lv-LV"/>
                </w:rPr>
                <w:t>2018/661/ES</w:t>
              </w:r>
            </w:hyperlink>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ECC/DEC/(13)03</w:t>
            </w:r>
          </w:p>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ECC/DEC/(17)06</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xml:space="preserve">Radiofrekvenču josla 1432–1492 MHz paredzēta publisko elektronisko sakaru tīklu </w:t>
            </w:r>
            <w:r w:rsidRPr="00CB583F">
              <w:rPr>
                <w:rFonts w:eastAsia="Times New Roman" w:cs="Times New Roman"/>
                <w:sz w:val="24"/>
                <w:szCs w:val="24"/>
                <w:lang w:eastAsia="lv-LV"/>
              </w:rPr>
              <w:lastRenderedPageBreak/>
              <w:t xml:space="preserve">izveidošanai visā Latvijas Republikas teritorijā. </w:t>
            </w:r>
          </w:p>
        </w:tc>
      </w:tr>
      <w:tr w:rsidR="00CB583F" w:rsidRPr="00CB583F" w:rsidTr="00CF5C34">
        <w:tc>
          <w:tcPr>
            <w:tcW w:w="5000" w:type="pct"/>
            <w:gridSpan w:val="4"/>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lastRenderedPageBreak/>
              <w:t>Informatīvā daļa</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12.</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Paredzētie grozījumi</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397D86">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 xml:space="preserve"> </w:t>
            </w:r>
            <w:r w:rsidR="00CB583F" w:rsidRPr="00CB583F">
              <w:rPr>
                <w:rFonts w:eastAsia="Times New Roman" w:cs="Times New Roman"/>
                <w:sz w:val="24"/>
                <w:szCs w:val="24"/>
                <w:lang w:eastAsia="lv-LV"/>
              </w:rPr>
              <w:t>Nav noteikts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397D86" w:rsidRPr="00CB583F">
              <w:rPr>
                <w:rFonts w:eastAsia="Times New Roman" w:cs="Times New Roman"/>
                <w:sz w:val="24"/>
                <w:szCs w:val="24"/>
                <w:lang w:eastAsia="lv-LV"/>
              </w:rPr>
              <w:t>Nav noteikts</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13.</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Atsauce</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397D86">
              <w:rPr>
                <w:rFonts w:eastAsia="Times New Roman" w:cs="Times New Roman"/>
                <w:sz w:val="24"/>
                <w:szCs w:val="24"/>
                <w:lang w:eastAsia="lv-LV"/>
              </w:rPr>
              <w:t>Nav noteikta</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397D86" w:rsidRPr="00CB583F">
              <w:rPr>
                <w:rFonts w:eastAsia="Times New Roman" w:cs="Times New Roman"/>
                <w:sz w:val="24"/>
                <w:szCs w:val="24"/>
                <w:lang w:eastAsia="lv-LV"/>
              </w:rPr>
              <w:t>Nav noteikt</w:t>
            </w:r>
            <w:r w:rsidR="00397D86">
              <w:rPr>
                <w:rFonts w:eastAsia="Times New Roman" w:cs="Times New Roman"/>
                <w:sz w:val="24"/>
                <w:szCs w:val="24"/>
                <w:lang w:eastAsia="lv-LV"/>
              </w:rPr>
              <w:t>a</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14.</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Paziņojuma numurs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397D86" w:rsidRPr="00CB583F">
              <w:rPr>
                <w:rFonts w:eastAsia="Times New Roman" w:cs="Times New Roman"/>
                <w:sz w:val="24"/>
                <w:szCs w:val="24"/>
                <w:lang w:eastAsia="lv-LV"/>
              </w:rPr>
              <w:t>Nav noteikts</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r w:rsidR="00397D86" w:rsidRPr="00CB583F">
              <w:rPr>
                <w:rFonts w:eastAsia="Times New Roman" w:cs="Times New Roman"/>
                <w:sz w:val="24"/>
                <w:szCs w:val="24"/>
                <w:lang w:eastAsia="lv-LV"/>
              </w:rPr>
              <w:t>Nav noteikts</w:t>
            </w:r>
          </w:p>
        </w:tc>
      </w:tr>
      <w:tr w:rsidR="00CB583F" w:rsidRPr="00CB583F" w:rsidTr="00CF5C34">
        <w:tc>
          <w:tcPr>
            <w:tcW w:w="315"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15.</w:t>
            </w:r>
          </w:p>
        </w:tc>
        <w:tc>
          <w:tcPr>
            <w:tcW w:w="1207"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Piezīmes</w:t>
            </w:r>
          </w:p>
        </w:tc>
        <w:tc>
          <w:tcPr>
            <w:tcW w:w="1424"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p>
        </w:tc>
        <w:tc>
          <w:tcPr>
            <w:tcW w:w="2053" w:type="pct"/>
            <w:tcBorders>
              <w:top w:val="outset" w:sz="6" w:space="0" w:color="414142"/>
              <w:left w:val="outset" w:sz="6" w:space="0" w:color="414142"/>
              <w:bottom w:val="outset" w:sz="6" w:space="0" w:color="414142"/>
              <w:right w:val="outset" w:sz="6" w:space="0" w:color="414142"/>
            </w:tcBorders>
            <w:shd w:val="clear" w:color="auto" w:fill="FFFFFF"/>
            <w:hideMark/>
          </w:tcPr>
          <w:p w:rsidR="00CB583F" w:rsidRPr="00CB583F" w:rsidRDefault="00CB583F">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 </w:t>
            </w:r>
          </w:p>
        </w:tc>
      </w:tr>
    </w:tbl>
    <w:p w:rsidR="00CB583F" w:rsidRPr="00CB583F" w:rsidRDefault="00CB583F" w:rsidP="00222204">
      <w:pPr>
        <w:spacing w:after="0" w:line="240" w:lineRule="auto"/>
        <w:jc w:val="both"/>
        <w:rPr>
          <w:rFonts w:eastAsia="Times New Roman" w:cs="Times New Roman"/>
          <w:sz w:val="24"/>
          <w:szCs w:val="24"/>
          <w:lang w:eastAsia="lv-LV"/>
        </w:rPr>
      </w:pPr>
      <w:r w:rsidRPr="00CB583F">
        <w:rPr>
          <w:rFonts w:eastAsia="Times New Roman" w:cs="Times New Roman"/>
          <w:sz w:val="24"/>
          <w:szCs w:val="24"/>
          <w:lang w:eastAsia="lv-LV"/>
        </w:rPr>
        <w:t>”</w:t>
      </w:r>
      <w:r>
        <w:rPr>
          <w:rFonts w:eastAsia="Times New Roman" w:cs="Times New Roman"/>
          <w:sz w:val="24"/>
          <w:szCs w:val="24"/>
          <w:lang w:eastAsia="lv-LV"/>
        </w:rPr>
        <w:t>.</w:t>
      </w:r>
    </w:p>
    <w:p w:rsidR="001A525A" w:rsidRDefault="001A525A" w:rsidP="0043732C">
      <w:pPr>
        <w:jc w:val="both"/>
        <w:rPr>
          <w:rFonts w:cs="Times New Roman"/>
          <w:bCs/>
          <w:szCs w:val="28"/>
        </w:rPr>
      </w:pPr>
    </w:p>
    <w:p w:rsidR="00DB41D7" w:rsidRPr="007C04F6" w:rsidRDefault="00DB41D7" w:rsidP="0043732C">
      <w:pPr>
        <w:pStyle w:val="ListParagraph"/>
        <w:numPr>
          <w:ilvl w:val="0"/>
          <w:numId w:val="2"/>
        </w:numPr>
        <w:jc w:val="both"/>
        <w:rPr>
          <w:rFonts w:cs="Times New Roman"/>
          <w:bCs/>
          <w:szCs w:val="28"/>
        </w:rPr>
      </w:pPr>
      <w:r w:rsidRPr="007C04F6">
        <w:rPr>
          <w:rFonts w:cs="Times New Roman"/>
          <w:bCs/>
          <w:szCs w:val="28"/>
        </w:rPr>
        <w:t>Izteikt 2. pielikuma 39. punktu šādā redakcijā:</w:t>
      </w:r>
    </w:p>
    <w:p w:rsidR="00DB41D7" w:rsidRDefault="00DB41D7" w:rsidP="0043732C">
      <w:pPr>
        <w:spacing w:after="240" w:line="240" w:lineRule="auto"/>
        <w:jc w:val="both"/>
        <w:rPr>
          <w:rFonts w:cs="Times New Roman"/>
          <w:b/>
          <w:bCs/>
          <w:sz w:val="24"/>
          <w:szCs w:val="24"/>
        </w:rPr>
      </w:pPr>
      <w:r>
        <w:rPr>
          <w:rFonts w:eastAsia="Times New Roman" w:cs="Times New Roman"/>
          <w:b/>
          <w:bCs/>
          <w:sz w:val="24"/>
          <w:szCs w:val="24"/>
          <w:lang w:eastAsia="lv-LV"/>
        </w:rPr>
        <w:t xml:space="preserve">“39. Radiosaskarne RS </w:t>
      </w:r>
      <w:r>
        <w:rPr>
          <w:rFonts w:cs="Times New Roman"/>
          <w:b/>
          <w:bCs/>
          <w:sz w:val="24"/>
          <w:szCs w:val="24"/>
        </w:rPr>
        <w:t>LM. 450-3</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89"/>
        <w:gridCol w:w="3543"/>
        <w:gridCol w:w="1560"/>
      </w:tblGrid>
      <w:tr w:rsidR="00DB41D7" w:rsidTr="00F71EDA">
        <w:trPr>
          <w:trHeight w:val="240"/>
        </w:trPr>
        <w:tc>
          <w:tcPr>
            <w:tcW w:w="534" w:type="dxa"/>
            <w:tcBorders>
              <w:top w:val="single" w:sz="4" w:space="0" w:color="000000"/>
              <w:left w:val="single" w:sz="4" w:space="0" w:color="000000"/>
              <w:bottom w:val="single" w:sz="4" w:space="0" w:color="000000"/>
              <w:right w:val="single" w:sz="4" w:space="0" w:color="000000"/>
            </w:tcBorders>
            <w:vAlign w:val="center"/>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Nr.</w:t>
            </w:r>
          </w:p>
        </w:tc>
        <w:tc>
          <w:tcPr>
            <w:tcW w:w="3289" w:type="dxa"/>
            <w:tcBorders>
              <w:top w:val="single" w:sz="4" w:space="0" w:color="000000"/>
              <w:left w:val="single" w:sz="4" w:space="0" w:color="000000"/>
              <w:bottom w:val="single" w:sz="4" w:space="0" w:color="000000"/>
              <w:right w:val="single" w:sz="4" w:space="0" w:color="000000"/>
            </w:tcBorders>
            <w:vAlign w:val="center"/>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Parametrs</w:t>
            </w:r>
          </w:p>
        </w:tc>
        <w:tc>
          <w:tcPr>
            <w:tcW w:w="3543" w:type="dxa"/>
            <w:tcBorders>
              <w:top w:val="single" w:sz="4" w:space="0" w:color="000000"/>
              <w:left w:val="single" w:sz="4" w:space="0" w:color="000000"/>
              <w:bottom w:val="single" w:sz="4" w:space="0" w:color="000000"/>
              <w:right w:val="single" w:sz="4" w:space="0" w:color="000000"/>
            </w:tcBorders>
            <w:vAlign w:val="center"/>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Apraksts</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Komentāri</w:t>
            </w:r>
          </w:p>
        </w:tc>
      </w:tr>
      <w:tr w:rsidR="00DB41D7" w:rsidTr="007A11E2">
        <w:trPr>
          <w:trHeight w:val="240"/>
        </w:trPr>
        <w:tc>
          <w:tcPr>
            <w:tcW w:w="8926" w:type="dxa"/>
            <w:gridSpan w:val="4"/>
            <w:tcBorders>
              <w:top w:val="single" w:sz="4" w:space="0" w:color="000000"/>
              <w:left w:val="single" w:sz="4" w:space="0" w:color="000000"/>
              <w:bottom w:val="single" w:sz="4" w:space="0" w:color="000000"/>
              <w:right w:val="single" w:sz="4" w:space="0" w:color="000000"/>
            </w:tcBorders>
            <w:vAlign w:val="center"/>
            <w:hideMark/>
          </w:tcPr>
          <w:p w:rsidR="00DB41D7" w:rsidRDefault="00DB41D7" w:rsidP="0043732C">
            <w:pPr>
              <w:spacing w:beforeLines="20" w:before="48" w:afterLines="20" w:after="48"/>
              <w:jc w:val="both"/>
              <w:rPr>
                <w:rFonts w:cs="Times New Roman"/>
                <w:bCs/>
                <w:sz w:val="24"/>
                <w:szCs w:val="24"/>
              </w:rPr>
            </w:pPr>
            <w:r>
              <w:rPr>
                <w:rFonts w:cs="Times New Roman"/>
                <w:bCs/>
                <w:sz w:val="24"/>
                <w:szCs w:val="24"/>
              </w:rPr>
              <w:t>Normatīvā daļa</w:t>
            </w:r>
          </w:p>
        </w:tc>
      </w:tr>
      <w:tr w:rsidR="00DB41D7" w:rsidTr="00F71EDA">
        <w:trPr>
          <w:trHeight w:val="430"/>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Radiosakaru dienests</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rPr>
              <w:t>Mobilais</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288"/>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2.</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Piemērošana</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rPr>
              <w:t>PMR</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235"/>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3.</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Frekvenču joslas</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458,1125-459,4250</w:t>
            </w:r>
            <w:r w:rsidR="001C4405">
              <w:rPr>
                <w:rFonts w:eastAsia="Times New Roman" w:cs="Times New Roman"/>
                <w:sz w:val="24"/>
                <w:szCs w:val="24"/>
                <w:lang w:eastAsia="lv-LV"/>
              </w:rPr>
              <w:t xml:space="preserve"> MHz</w:t>
            </w:r>
            <w:r>
              <w:rPr>
                <w:rFonts w:eastAsia="Times New Roman" w:cs="Times New Roman"/>
                <w:sz w:val="24"/>
                <w:szCs w:val="24"/>
                <w:lang w:eastAsia="lv-LV"/>
              </w:rPr>
              <w:t>;</w:t>
            </w:r>
          </w:p>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459,6750- 459,8000</w:t>
            </w:r>
            <w:r w:rsidR="001C4405">
              <w:rPr>
                <w:rFonts w:eastAsia="Times New Roman" w:cs="Times New Roman"/>
                <w:sz w:val="24"/>
                <w:szCs w:val="24"/>
                <w:lang w:eastAsia="lv-LV"/>
              </w:rPr>
              <w:t xml:space="preserve"> MHz</w:t>
            </w:r>
            <w:r>
              <w:rPr>
                <w:rFonts w:eastAsia="Times New Roman" w:cs="Times New Roman"/>
                <w:sz w:val="24"/>
                <w:szCs w:val="24"/>
                <w:lang w:eastAsia="lv-LV"/>
              </w:rPr>
              <w:t xml:space="preserve">; </w:t>
            </w:r>
          </w:p>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468,1125-469,4250</w:t>
            </w:r>
            <w:r w:rsidR="001C4405">
              <w:rPr>
                <w:rFonts w:eastAsia="Times New Roman" w:cs="Times New Roman"/>
                <w:sz w:val="24"/>
                <w:szCs w:val="24"/>
                <w:lang w:eastAsia="lv-LV"/>
              </w:rPr>
              <w:t xml:space="preserve"> MHz</w:t>
            </w:r>
            <w:r>
              <w:rPr>
                <w:rFonts w:eastAsia="Times New Roman" w:cs="Times New Roman"/>
                <w:sz w:val="24"/>
                <w:szCs w:val="24"/>
                <w:lang w:eastAsia="lv-LV"/>
              </w:rPr>
              <w:t>;</w:t>
            </w:r>
          </w:p>
          <w:p w:rsidR="00DB41D7" w:rsidRDefault="00DB41D7" w:rsidP="0043732C">
            <w:pPr>
              <w:spacing w:after="0"/>
              <w:jc w:val="both"/>
              <w:rPr>
                <w:rFonts w:cs="Times New Roman"/>
                <w:sz w:val="24"/>
                <w:szCs w:val="24"/>
              </w:rPr>
            </w:pPr>
            <w:r>
              <w:rPr>
                <w:rFonts w:eastAsia="Times New Roman" w:cs="Times New Roman"/>
                <w:sz w:val="24"/>
                <w:szCs w:val="24"/>
                <w:lang w:eastAsia="lv-LV"/>
              </w:rPr>
              <w:t>469,6750- 469,8000</w:t>
            </w:r>
            <w:r w:rsidR="001C4405">
              <w:rPr>
                <w:rFonts w:eastAsia="Times New Roman" w:cs="Times New Roman"/>
                <w:sz w:val="24"/>
                <w:szCs w:val="24"/>
                <w:lang w:eastAsia="lv-LV"/>
              </w:rPr>
              <w:t xml:space="preserve"> MHz</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480"/>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4.</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Kanālu sadalījums</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12,5 kHz; 25 kHz</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513"/>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5.</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bCs/>
                <w:sz w:val="24"/>
                <w:szCs w:val="24"/>
              </w:rPr>
              <w:t>Modulācija / aizņemtā frekvenču josla</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Ciparu vai analogais</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543"/>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6.</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Virziens/nodalīšana</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rPr>
              <w:t>Dupleksais atdalījums 10 MHz</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418"/>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7.</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bCs/>
                <w:sz w:val="24"/>
                <w:szCs w:val="24"/>
              </w:rPr>
              <w:t>Pārraides jauda / jaudas blīvums</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rPr>
              <w:t>≤ 14 dBW e.r.p.</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548"/>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8.</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Kanāla piekļuves un lietošanas noteikumi</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Raidīšanas frekvences:</w:t>
            </w:r>
          </w:p>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ML1: 458,1125-459,4250</w:t>
            </w:r>
            <w:r w:rsidR="007A11E2">
              <w:rPr>
                <w:rFonts w:eastAsia="Times New Roman" w:cs="Times New Roman"/>
                <w:sz w:val="24"/>
                <w:szCs w:val="24"/>
                <w:lang w:eastAsia="lv-LV"/>
              </w:rPr>
              <w:t> </w:t>
            </w:r>
            <w:r w:rsidR="001C4405">
              <w:rPr>
                <w:rFonts w:eastAsia="Times New Roman" w:cs="Times New Roman"/>
                <w:sz w:val="24"/>
                <w:szCs w:val="24"/>
                <w:lang w:eastAsia="lv-LV"/>
              </w:rPr>
              <w:t>MHz</w:t>
            </w:r>
            <w:r>
              <w:rPr>
                <w:rFonts w:eastAsia="Times New Roman" w:cs="Times New Roman"/>
                <w:sz w:val="24"/>
                <w:szCs w:val="24"/>
                <w:lang w:eastAsia="lv-LV"/>
              </w:rPr>
              <w:t xml:space="preserve"> </w:t>
            </w:r>
          </w:p>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ML2: 459,6750- 459,8000</w:t>
            </w:r>
            <w:r w:rsidR="007A11E2">
              <w:rPr>
                <w:rFonts w:eastAsia="Times New Roman" w:cs="Times New Roman"/>
                <w:sz w:val="24"/>
                <w:szCs w:val="24"/>
                <w:lang w:eastAsia="lv-LV"/>
              </w:rPr>
              <w:t> </w:t>
            </w:r>
            <w:r w:rsidR="001C4405">
              <w:rPr>
                <w:rFonts w:eastAsia="Times New Roman" w:cs="Times New Roman"/>
                <w:sz w:val="24"/>
                <w:szCs w:val="24"/>
                <w:lang w:eastAsia="lv-LV"/>
              </w:rPr>
              <w:t>MHz</w:t>
            </w:r>
          </w:p>
          <w:p w:rsidR="00DB41D7" w:rsidRDefault="00DB41D7"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FB1: 468,1125-469,4250</w:t>
            </w:r>
            <w:r w:rsidR="007A11E2">
              <w:rPr>
                <w:rFonts w:eastAsia="Times New Roman" w:cs="Times New Roman"/>
                <w:sz w:val="24"/>
                <w:szCs w:val="24"/>
                <w:lang w:eastAsia="lv-LV"/>
              </w:rPr>
              <w:t> MHz</w:t>
            </w:r>
          </w:p>
          <w:p w:rsidR="00DB41D7" w:rsidRDefault="00DB41D7" w:rsidP="0043732C">
            <w:pPr>
              <w:spacing w:after="0" w:line="240" w:lineRule="auto"/>
              <w:jc w:val="both"/>
              <w:rPr>
                <w:rFonts w:cs="Times New Roman"/>
                <w:sz w:val="24"/>
                <w:szCs w:val="24"/>
              </w:rPr>
            </w:pPr>
            <w:r>
              <w:rPr>
                <w:rFonts w:eastAsia="Times New Roman" w:cs="Times New Roman"/>
                <w:sz w:val="24"/>
                <w:szCs w:val="24"/>
                <w:lang w:eastAsia="lv-LV"/>
              </w:rPr>
              <w:t>FB2: 469,6750- 469,8000</w:t>
            </w:r>
            <w:r w:rsidR="007A11E2">
              <w:rPr>
                <w:rFonts w:eastAsia="Times New Roman" w:cs="Times New Roman"/>
                <w:sz w:val="24"/>
                <w:szCs w:val="24"/>
                <w:lang w:eastAsia="lv-LV"/>
              </w:rPr>
              <w:t> MHz</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Nav </w:t>
            </w:r>
            <w:r w:rsidR="00661636">
              <w:rPr>
                <w:rFonts w:eastAsia="Times New Roman" w:cs="Times New Roman"/>
                <w:sz w:val="24"/>
                <w:szCs w:val="24"/>
                <w:lang w:eastAsia="lv-LV"/>
              </w:rPr>
              <w:t>definēti</w:t>
            </w:r>
          </w:p>
        </w:tc>
      </w:tr>
      <w:tr w:rsidR="00DB41D7" w:rsidTr="00F71EDA">
        <w:trPr>
          <w:trHeight w:val="416"/>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9.</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bCs/>
                <w:sz w:val="24"/>
                <w:szCs w:val="24"/>
              </w:rPr>
              <w:t>Atļaujas piešķiršanas procedūra</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rPr>
              <w:t>Katrai radiostacijai individuāli</w:t>
            </w:r>
          </w:p>
        </w:tc>
        <w:tc>
          <w:tcPr>
            <w:tcW w:w="1560" w:type="dxa"/>
            <w:tcBorders>
              <w:top w:val="single" w:sz="4" w:space="0" w:color="000000"/>
              <w:left w:val="single" w:sz="4" w:space="0" w:color="000000"/>
              <w:bottom w:val="single" w:sz="4" w:space="0" w:color="000000"/>
              <w:right w:val="single" w:sz="4" w:space="0" w:color="000000"/>
            </w:tcBorders>
          </w:tcPr>
          <w:p w:rsidR="00DB41D7" w:rsidRDefault="00661636"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DB41D7" w:rsidTr="00F71EDA">
        <w:trPr>
          <w:trHeight w:val="372"/>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10.</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Būtiskas papildu prasības</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sz w:val="24"/>
                <w:szCs w:val="24"/>
                <w:lang w:val="en-GB"/>
              </w:rPr>
              <w:t>Nav noteikts</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w:t>
            </w:r>
            <w:r w:rsidR="00661636">
              <w:rPr>
                <w:rFonts w:eastAsia="Times New Roman" w:cs="Times New Roman"/>
                <w:sz w:val="24"/>
                <w:szCs w:val="24"/>
                <w:lang w:eastAsia="lv-LV"/>
              </w:rPr>
              <w:t>i</w:t>
            </w:r>
          </w:p>
        </w:tc>
      </w:tr>
      <w:tr w:rsidR="00DB41D7" w:rsidTr="00F71EDA">
        <w:trPr>
          <w:trHeight w:val="839"/>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11.</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bCs/>
                <w:sz w:val="24"/>
                <w:szCs w:val="24"/>
              </w:rPr>
              <w:t>Frekvenču diapazona plānojuma apsvērumi</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pStyle w:val="tvhtml"/>
              <w:spacing w:before="0" w:beforeAutospacing="0" w:after="0" w:afterAutospacing="0" w:line="276" w:lineRule="auto"/>
              <w:jc w:val="both"/>
              <w:rPr>
                <w:lang w:eastAsia="en-US"/>
              </w:rPr>
            </w:pPr>
            <w:r>
              <w:rPr>
                <w:lang w:eastAsia="en-US"/>
              </w:rPr>
              <w:t>CEPT rekomendācija T/R 25-08</w:t>
            </w:r>
            <w:r>
              <w:rPr>
                <w:lang w:eastAsia="en-US"/>
              </w:rPr>
              <w:br/>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w:t>
            </w:r>
            <w:r w:rsidR="00661636">
              <w:rPr>
                <w:rFonts w:eastAsia="Times New Roman" w:cs="Times New Roman"/>
                <w:sz w:val="24"/>
                <w:szCs w:val="24"/>
                <w:lang w:eastAsia="lv-LV"/>
              </w:rPr>
              <w:t>i</w:t>
            </w:r>
          </w:p>
        </w:tc>
      </w:tr>
      <w:tr w:rsidR="00DB41D7" w:rsidTr="007A11E2">
        <w:trPr>
          <w:trHeight w:val="290"/>
        </w:trPr>
        <w:tc>
          <w:tcPr>
            <w:tcW w:w="8926" w:type="dxa"/>
            <w:gridSpan w:val="4"/>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bCs/>
                <w:sz w:val="24"/>
                <w:szCs w:val="24"/>
              </w:rPr>
              <w:t>Informatīvā daļa</w:t>
            </w:r>
          </w:p>
        </w:tc>
      </w:tr>
      <w:tr w:rsidR="00DB41D7" w:rsidTr="00F71EDA">
        <w:trPr>
          <w:trHeight w:val="290"/>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12.</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Paredzētie grozījumi</w:t>
            </w:r>
          </w:p>
        </w:tc>
        <w:tc>
          <w:tcPr>
            <w:tcW w:w="3543"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lang w:val="en-GB"/>
              </w:rPr>
            </w:pPr>
            <w:r>
              <w:rPr>
                <w:rFonts w:cs="Times New Roman"/>
                <w:sz w:val="24"/>
                <w:szCs w:val="24"/>
                <w:lang w:val="en-GB"/>
              </w:rPr>
              <w:t>Nav noteikts</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lang w:val="en-GB"/>
              </w:rPr>
            </w:pPr>
            <w:r>
              <w:rPr>
                <w:rFonts w:cs="Times New Roman"/>
                <w:sz w:val="24"/>
                <w:szCs w:val="24"/>
                <w:lang w:val="en-GB"/>
              </w:rPr>
              <w:t>Nav noteikts</w:t>
            </w:r>
          </w:p>
        </w:tc>
      </w:tr>
      <w:tr w:rsidR="00DB41D7" w:rsidTr="00F71EDA">
        <w:trPr>
          <w:trHeight w:val="341"/>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13.</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Atsauce</w:t>
            </w:r>
          </w:p>
        </w:tc>
        <w:tc>
          <w:tcPr>
            <w:tcW w:w="3543"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cs="Times New Roman"/>
                <w:sz w:val="24"/>
                <w:szCs w:val="24"/>
                <w:lang w:val="en-GB"/>
              </w:rPr>
              <w:t>Nav noteikta</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lang w:val="en-GB"/>
              </w:rPr>
            </w:pPr>
            <w:r>
              <w:rPr>
                <w:rFonts w:cs="Times New Roman"/>
                <w:sz w:val="24"/>
                <w:szCs w:val="24"/>
                <w:lang w:val="en-GB"/>
              </w:rPr>
              <w:t>Nav noteikt</w:t>
            </w:r>
            <w:r w:rsidR="00B5095D">
              <w:rPr>
                <w:rFonts w:cs="Times New Roman"/>
                <w:sz w:val="24"/>
                <w:szCs w:val="24"/>
                <w:lang w:val="en-GB"/>
              </w:rPr>
              <w:t>s</w:t>
            </w:r>
          </w:p>
        </w:tc>
      </w:tr>
      <w:tr w:rsidR="00DB41D7" w:rsidTr="00F71EDA">
        <w:trPr>
          <w:trHeight w:val="290"/>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lastRenderedPageBreak/>
              <w:t>14.</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Paziņojuma numurs</w:t>
            </w:r>
          </w:p>
        </w:tc>
        <w:tc>
          <w:tcPr>
            <w:tcW w:w="3543"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rPr>
            </w:pPr>
            <w:r>
              <w:rPr>
                <w:rFonts w:cs="Times New Roman"/>
                <w:sz w:val="24"/>
                <w:szCs w:val="24"/>
                <w:lang w:val="en-GB"/>
              </w:rPr>
              <w:t>Nav noteikts</w:t>
            </w: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lang w:val="en-GB"/>
              </w:rPr>
            </w:pPr>
            <w:r>
              <w:rPr>
                <w:rFonts w:cs="Times New Roman"/>
                <w:sz w:val="24"/>
                <w:szCs w:val="24"/>
                <w:lang w:val="en-GB"/>
              </w:rPr>
              <w:t>Nav noteikts</w:t>
            </w:r>
          </w:p>
        </w:tc>
      </w:tr>
      <w:tr w:rsidR="00DB41D7" w:rsidTr="00F71EDA">
        <w:trPr>
          <w:trHeight w:val="271"/>
        </w:trPr>
        <w:tc>
          <w:tcPr>
            <w:tcW w:w="534"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bCs/>
                <w:sz w:val="24"/>
                <w:szCs w:val="24"/>
                <w:lang w:val="en-GB"/>
              </w:rPr>
            </w:pPr>
            <w:r>
              <w:rPr>
                <w:rFonts w:cs="Times New Roman"/>
                <w:bCs/>
                <w:sz w:val="24"/>
                <w:szCs w:val="24"/>
                <w:lang w:val="en-GB"/>
              </w:rPr>
              <w:t>15.</w:t>
            </w:r>
          </w:p>
        </w:tc>
        <w:tc>
          <w:tcPr>
            <w:tcW w:w="3289" w:type="dxa"/>
            <w:tcBorders>
              <w:top w:val="single" w:sz="4" w:space="0" w:color="000000"/>
              <w:left w:val="single" w:sz="4" w:space="0" w:color="000000"/>
              <w:bottom w:val="single" w:sz="4" w:space="0" w:color="000000"/>
              <w:right w:val="single" w:sz="4" w:space="0" w:color="000000"/>
            </w:tcBorders>
            <w:hideMark/>
          </w:tcPr>
          <w:p w:rsidR="00DB41D7" w:rsidRDefault="00DB41D7" w:rsidP="0043732C">
            <w:pPr>
              <w:spacing w:beforeLines="20" w:before="48" w:afterLines="20" w:after="48"/>
              <w:jc w:val="both"/>
              <w:rPr>
                <w:rFonts w:cs="Times New Roman"/>
                <w:sz w:val="24"/>
                <w:szCs w:val="24"/>
              </w:rPr>
            </w:pPr>
            <w:r>
              <w:rPr>
                <w:rFonts w:cs="Times New Roman"/>
                <w:bCs/>
                <w:sz w:val="24"/>
                <w:szCs w:val="24"/>
              </w:rPr>
              <w:t>Piezīmes</w:t>
            </w:r>
          </w:p>
        </w:tc>
        <w:tc>
          <w:tcPr>
            <w:tcW w:w="3543"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lang w:val="en-GB"/>
              </w:rPr>
            </w:pPr>
          </w:p>
        </w:tc>
        <w:tc>
          <w:tcPr>
            <w:tcW w:w="1560" w:type="dxa"/>
            <w:tcBorders>
              <w:top w:val="single" w:sz="4" w:space="0" w:color="000000"/>
              <w:left w:val="single" w:sz="4" w:space="0" w:color="000000"/>
              <w:bottom w:val="single" w:sz="4" w:space="0" w:color="000000"/>
              <w:right w:val="single" w:sz="4" w:space="0" w:color="000000"/>
            </w:tcBorders>
          </w:tcPr>
          <w:p w:rsidR="00DB41D7" w:rsidRDefault="00DB41D7" w:rsidP="0043732C">
            <w:pPr>
              <w:spacing w:beforeLines="20" w:before="48" w:afterLines="20" w:after="48"/>
              <w:jc w:val="both"/>
              <w:rPr>
                <w:rFonts w:cs="Times New Roman"/>
                <w:sz w:val="24"/>
                <w:szCs w:val="24"/>
                <w:lang w:val="en-GB"/>
              </w:rPr>
            </w:pPr>
          </w:p>
        </w:tc>
      </w:tr>
    </w:tbl>
    <w:p w:rsidR="00CB583F" w:rsidRDefault="00DB41D7" w:rsidP="0043732C">
      <w:pPr>
        <w:jc w:val="both"/>
        <w:rPr>
          <w:rFonts w:cs="Times New Roman"/>
          <w:bCs/>
          <w:szCs w:val="28"/>
        </w:rPr>
      </w:pPr>
      <w:r>
        <w:rPr>
          <w:rFonts w:cs="Times New Roman"/>
          <w:bCs/>
          <w:szCs w:val="28"/>
        </w:rPr>
        <w:t>.”</w:t>
      </w:r>
    </w:p>
    <w:p w:rsidR="001A525A" w:rsidRDefault="001A525A" w:rsidP="0043732C">
      <w:pPr>
        <w:jc w:val="both"/>
        <w:rPr>
          <w:rFonts w:cs="Times New Roman"/>
          <w:bCs/>
          <w:szCs w:val="28"/>
        </w:rPr>
      </w:pPr>
    </w:p>
    <w:p w:rsidR="00EF0E41" w:rsidRPr="007C04F6" w:rsidRDefault="00EF0E41" w:rsidP="0043732C">
      <w:pPr>
        <w:pStyle w:val="ListParagraph"/>
        <w:numPr>
          <w:ilvl w:val="0"/>
          <w:numId w:val="2"/>
        </w:numPr>
        <w:jc w:val="both"/>
        <w:rPr>
          <w:rFonts w:cs="Times New Roman"/>
          <w:bCs/>
          <w:szCs w:val="28"/>
        </w:rPr>
      </w:pPr>
      <w:r w:rsidRPr="007C04F6">
        <w:rPr>
          <w:rFonts w:cs="Times New Roman"/>
          <w:bCs/>
          <w:szCs w:val="28"/>
        </w:rPr>
        <w:t>Izteikt 2. pielikuma 39</w:t>
      </w:r>
      <w:r w:rsidRPr="007C04F6">
        <w:rPr>
          <w:rFonts w:cs="Times New Roman"/>
          <w:bCs/>
          <w:szCs w:val="28"/>
          <w:vertAlign w:val="superscript"/>
        </w:rPr>
        <w:t>1</w:t>
      </w:r>
      <w:r w:rsidRPr="007C04F6">
        <w:rPr>
          <w:rFonts w:cs="Times New Roman"/>
          <w:bCs/>
          <w:szCs w:val="28"/>
        </w:rPr>
        <w:t>. punktu šādā redakcijā:</w:t>
      </w:r>
    </w:p>
    <w:p w:rsidR="00EF0E41" w:rsidRDefault="001A525A" w:rsidP="0043732C">
      <w:pPr>
        <w:spacing w:before="100" w:beforeAutospacing="1" w:after="100" w:afterAutospacing="1" w:line="240" w:lineRule="auto"/>
        <w:jc w:val="both"/>
        <w:rPr>
          <w:rFonts w:cs="Times New Roman"/>
          <w:b/>
          <w:bCs/>
          <w:sz w:val="24"/>
          <w:szCs w:val="24"/>
        </w:rPr>
      </w:pPr>
      <w:r>
        <w:rPr>
          <w:rFonts w:eastAsia="Times New Roman" w:cs="Times New Roman"/>
          <w:b/>
          <w:bCs/>
          <w:sz w:val="24"/>
          <w:szCs w:val="24"/>
          <w:lang w:eastAsia="lv-LV"/>
        </w:rPr>
        <w:t>“</w:t>
      </w:r>
      <w:r w:rsidR="00EF0E41">
        <w:rPr>
          <w:rFonts w:eastAsia="Times New Roman" w:cs="Times New Roman"/>
          <w:b/>
          <w:bCs/>
          <w:sz w:val="24"/>
          <w:szCs w:val="24"/>
          <w:lang w:eastAsia="lv-LV"/>
        </w:rPr>
        <w:t>39.</w:t>
      </w:r>
      <w:r w:rsidR="00EF0E41">
        <w:rPr>
          <w:rFonts w:eastAsia="Times New Roman" w:cs="Times New Roman"/>
          <w:b/>
          <w:bCs/>
          <w:sz w:val="24"/>
          <w:szCs w:val="24"/>
          <w:vertAlign w:val="superscript"/>
          <w:lang w:eastAsia="lv-LV"/>
        </w:rPr>
        <w:t>1</w:t>
      </w:r>
      <w:r w:rsidR="00EF0E41">
        <w:rPr>
          <w:rFonts w:eastAsia="Times New Roman" w:cs="Times New Roman"/>
          <w:b/>
          <w:bCs/>
          <w:sz w:val="24"/>
          <w:szCs w:val="24"/>
          <w:lang w:eastAsia="lv-LV"/>
        </w:rPr>
        <w:t xml:space="preserve"> Radiosaskarne RS </w:t>
      </w:r>
      <w:r w:rsidR="00EF0E41">
        <w:rPr>
          <w:rFonts w:cs="Times New Roman"/>
          <w:b/>
          <w:bCs/>
          <w:sz w:val="24"/>
          <w:szCs w:val="24"/>
        </w:rPr>
        <w:t>LM. 450-4</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543"/>
        <w:gridCol w:w="3148"/>
        <w:gridCol w:w="1559"/>
      </w:tblGrid>
      <w:tr w:rsidR="00EF0E41" w:rsidTr="002B378F">
        <w:trPr>
          <w:trHeight w:val="240"/>
        </w:trPr>
        <w:tc>
          <w:tcPr>
            <w:tcW w:w="534" w:type="dxa"/>
            <w:tcBorders>
              <w:top w:val="single" w:sz="4" w:space="0" w:color="000000"/>
              <w:left w:val="single" w:sz="4" w:space="0" w:color="000000"/>
              <w:bottom w:val="single" w:sz="4" w:space="0" w:color="000000"/>
              <w:right w:val="single" w:sz="4" w:space="0" w:color="000000"/>
            </w:tcBorders>
            <w:vAlign w:val="center"/>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Nr.</w:t>
            </w:r>
          </w:p>
        </w:tc>
        <w:tc>
          <w:tcPr>
            <w:tcW w:w="3543" w:type="dxa"/>
            <w:tcBorders>
              <w:top w:val="single" w:sz="4" w:space="0" w:color="000000"/>
              <w:left w:val="single" w:sz="4" w:space="0" w:color="000000"/>
              <w:bottom w:val="single" w:sz="4" w:space="0" w:color="000000"/>
              <w:right w:val="single" w:sz="4" w:space="0" w:color="000000"/>
            </w:tcBorders>
            <w:vAlign w:val="center"/>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Parametrs</w:t>
            </w:r>
          </w:p>
        </w:tc>
        <w:tc>
          <w:tcPr>
            <w:tcW w:w="3148" w:type="dxa"/>
            <w:tcBorders>
              <w:top w:val="single" w:sz="4" w:space="0" w:color="000000"/>
              <w:left w:val="single" w:sz="4" w:space="0" w:color="000000"/>
              <w:bottom w:val="single" w:sz="4" w:space="0" w:color="000000"/>
              <w:right w:val="single" w:sz="4" w:space="0" w:color="000000"/>
            </w:tcBorders>
            <w:vAlign w:val="center"/>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Apraksts</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Komentāri</w:t>
            </w:r>
          </w:p>
        </w:tc>
      </w:tr>
      <w:tr w:rsidR="00EF0E41" w:rsidTr="002B378F">
        <w:trPr>
          <w:trHeight w:val="240"/>
        </w:trPr>
        <w:tc>
          <w:tcPr>
            <w:tcW w:w="8784" w:type="dxa"/>
            <w:gridSpan w:val="4"/>
            <w:tcBorders>
              <w:top w:val="single" w:sz="4" w:space="0" w:color="000000"/>
              <w:left w:val="single" w:sz="4" w:space="0" w:color="000000"/>
              <w:bottom w:val="single" w:sz="4" w:space="0" w:color="000000"/>
              <w:right w:val="single" w:sz="4" w:space="0" w:color="000000"/>
            </w:tcBorders>
            <w:vAlign w:val="center"/>
            <w:hideMark/>
          </w:tcPr>
          <w:p w:rsidR="00EF0E41" w:rsidRDefault="00EF0E41" w:rsidP="0043732C">
            <w:pPr>
              <w:spacing w:beforeLines="20" w:before="48" w:afterLines="20" w:after="48"/>
              <w:jc w:val="both"/>
              <w:rPr>
                <w:rFonts w:cs="Times New Roman"/>
                <w:bCs/>
                <w:sz w:val="24"/>
                <w:szCs w:val="24"/>
              </w:rPr>
            </w:pPr>
            <w:r>
              <w:rPr>
                <w:rFonts w:cs="Times New Roman"/>
                <w:bCs/>
                <w:sz w:val="24"/>
                <w:szCs w:val="24"/>
              </w:rPr>
              <w:t>Normatīvā daļa</w:t>
            </w:r>
          </w:p>
        </w:tc>
      </w:tr>
      <w:tr w:rsidR="00EF0E41" w:rsidTr="002B378F">
        <w:trPr>
          <w:trHeight w:val="430"/>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Radiosakaru dienests</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rPr>
              <w:t>Mobilais</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288"/>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2.</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Piemērošana</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rPr>
              <w:t>Telemetrija</w:t>
            </w:r>
          </w:p>
        </w:tc>
        <w:tc>
          <w:tcPr>
            <w:tcW w:w="1559"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Datu pārraides tīkli</w:t>
            </w:r>
          </w:p>
        </w:tc>
      </w:tr>
      <w:tr w:rsidR="00EF0E41" w:rsidTr="002B378F">
        <w:trPr>
          <w:trHeight w:val="235"/>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3.</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Frekvenču joslas</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pStyle w:val="naiskr"/>
              <w:spacing w:before="0" w:after="0" w:line="276" w:lineRule="auto"/>
              <w:jc w:val="both"/>
              <w:rPr>
                <w:lang w:eastAsia="en-US"/>
              </w:rPr>
            </w:pPr>
            <w:r>
              <w:rPr>
                <w:lang w:eastAsia="en-US"/>
              </w:rPr>
              <w:t>459,4250–459,6750 MHz;</w:t>
            </w:r>
          </w:p>
          <w:p w:rsidR="00EF0E41" w:rsidRDefault="00EF0E41" w:rsidP="0043732C">
            <w:pPr>
              <w:spacing w:after="0"/>
              <w:jc w:val="both"/>
              <w:rPr>
                <w:rFonts w:cs="Times New Roman"/>
                <w:sz w:val="24"/>
                <w:szCs w:val="24"/>
              </w:rPr>
            </w:pPr>
            <w:r>
              <w:rPr>
                <w:rFonts w:cs="Times New Roman"/>
                <w:sz w:val="24"/>
                <w:szCs w:val="24"/>
              </w:rPr>
              <w:t>469,4250–469,6750 MHz</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480"/>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4.</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Kanālu sadalījums</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50 kHz</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513"/>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5.</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bCs/>
                <w:sz w:val="24"/>
                <w:szCs w:val="24"/>
              </w:rPr>
              <w:t>Modulācija / aizņemtā frekvenču josla</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 xml:space="preserve">Ciparu </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543"/>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6.</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Virziens/nodalīšana</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rPr>
              <w:t>Dupleksais atdalījums 10 MHz</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418"/>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7.</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bCs/>
                <w:sz w:val="24"/>
                <w:szCs w:val="24"/>
              </w:rPr>
              <w:t>Pārraides jauda / jaudas blīvums</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rPr>
              <w:t>≤ 14 dBW e.r.p.</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548"/>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8.</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Kanāla piekļuves un lietošanas noteikumi</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after="0" w:line="240" w:lineRule="auto"/>
              <w:jc w:val="both"/>
              <w:rPr>
                <w:rFonts w:cs="Times New Roman"/>
                <w:sz w:val="24"/>
                <w:szCs w:val="24"/>
              </w:rPr>
            </w:pPr>
            <w:r>
              <w:rPr>
                <w:rFonts w:cs="Times New Roman"/>
                <w:sz w:val="24"/>
                <w:szCs w:val="24"/>
                <w:lang w:val="en-GB"/>
              </w:rPr>
              <w:t>Nav noteikts</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416"/>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9.</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bCs/>
                <w:sz w:val="24"/>
                <w:szCs w:val="24"/>
              </w:rPr>
              <w:t>Atļaujas piešķiršanas procedūra</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rPr>
              <w:t>Katrai radiostacijai individuāli</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372"/>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10.</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Būtiskas papildu prasības</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sz w:val="24"/>
                <w:szCs w:val="24"/>
                <w:lang w:val="en-GB"/>
              </w:rPr>
              <w:t>Nav noteikts</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839"/>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11.</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bCs/>
                <w:sz w:val="24"/>
                <w:szCs w:val="24"/>
              </w:rPr>
              <w:t>Frekvenču diapazona plānojuma apsvērumi</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pStyle w:val="tvhtml"/>
              <w:spacing w:before="0" w:beforeAutospacing="0" w:after="0" w:afterAutospacing="0" w:line="276" w:lineRule="auto"/>
              <w:jc w:val="both"/>
              <w:rPr>
                <w:lang w:eastAsia="en-US"/>
              </w:rPr>
            </w:pPr>
            <w:r>
              <w:rPr>
                <w:lang w:val="en-GB" w:eastAsia="en-US"/>
              </w:rPr>
              <w:t>Nav noteikts</w:t>
            </w:r>
            <w:r>
              <w:rPr>
                <w:lang w:eastAsia="en-US"/>
              </w:rPr>
              <w:br/>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EF0E41" w:rsidTr="002B378F">
        <w:trPr>
          <w:trHeight w:val="290"/>
        </w:trPr>
        <w:tc>
          <w:tcPr>
            <w:tcW w:w="8784" w:type="dxa"/>
            <w:gridSpan w:val="4"/>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bCs/>
                <w:sz w:val="24"/>
                <w:szCs w:val="24"/>
              </w:rPr>
              <w:t>Informatīvā daļa</w:t>
            </w:r>
          </w:p>
        </w:tc>
      </w:tr>
      <w:tr w:rsidR="00EF0E41" w:rsidTr="002B378F">
        <w:trPr>
          <w:trHeight w:val="290"/>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12.</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Paredzētie grozījumi</w:t>
            </w:r>
          </w:p>
        </w:tc>
        <w:tc>
          <w:tcPr>
            <w:tcW w:w="3148"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lang w:val="en-GB"/>
              </w:rPr>
            </w:pPr>
            <w:r>
              <w:rPr>
                <w:rFonts w:cs="Times New Roman"/>
                <w:sz w:val="24"/>
                <w:szCs w:val="24"/>
                <w:lang w:val="en-GB"/>
              </w:rPr>
              <w:t>Nav noteikts</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lang w:val="en-GB"/>
              </w:rPr>
            </w:pPr>
            <w:r>
              <w:rPr>
                <w:rFonts w:cs="Times New Roman"/>
                <w:sz w:val="24"/>
                <w:szCs w:val="24"/>
                <w:lang w:val="en-GB"/>
              </w:rPr>
              <w:t>Nav noteikt</w:t>
            </w:r>
            <w:r w:rsidR="00B5095D">
              <w:rPr>
                <w:rFonts w:cs="Times New Roman"/>
                <w:sz w:val="24"/>
                <w:szCs w:val="24"/>
                <w:lang w:val="en-GB"/>
              </w:rPr>
              <w:t>s</w:t>
            </w:r>
          </w:p>
        </w:tc>
      </w:tr>
      <w:tr w:rsidR="00EF0E41" w:rsidTr="002B378F">
        <w:trPr>
          <w:trHeight w:val="341"/>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13.</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Atsauce</w:t>
            </w:r>
          </w:p>
        </w:tc>
        <w:tc>
          <w:tcPr>
            <w:tcW w:w="3148"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cs="Times New Roman"/>
                <w:sz w:val="24"/>
                <w:szCs w:val="24"/>
                <w:lang w:val="en-GB"/>
              </w:rPr>
              <w:t>Nav noteikta</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lang w:val="en-GB"/>
              </w:rPr>
            </w:pPr>
            <w:r>
              <w:rPr>
                <w:rFonts w:cs="Times New Roman"/>
                <w:sz w:val="24"/>
                <w:szCs w:val="24"/>
                <w:lang w:val="en-GB"/>
              </w:rPr>
              <w:t>Nav noteikt</w:t>
            </w:r>
            <w:r w:rsidR="00B5095D">
              <w:rPr>
                <w:rFonts w:cs="Times New Roman"/>
                <w:sz w:val="24"/>
                <w:szCs w:val="24"/>
                <w:lang w:val="en-GB"/>
              </w:rPr>
              <w:t>s</w:t>
            </w:r>
          </w:p>
        </w:tc>
      </w:tr>
      <w:tr w:rsidR="00EF0E41" w:rsidTr="002B378F">
        <w:trPr>
          <w:trHeight w:val="290"/>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14.</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Paziņojuma numurs</w:t>
            </w:r>
          </w:p>
        </w:tc>
        <w:tc>
          <w:tcPr>
            <w:tcW w:w="3148"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rPr>
            </w:pPr>
            <w:r>
              <w:rPr>
                <w:rFonts w:cs="Times New Roman"/>
                <w:sz w:val="24"/>
                <w:szCs w:val="24"/>
                <w:lang w:val="en-GB"/>
              </w:rPr>
              <w:t>Nav noteikts</w:t>
            </w: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lang w:val="en-GB"/>
              </w:rPr>
            </w:pPr>
            <w:r>
              <w:rPr>
                <w:rFonts w:cs="Times New Roman"/>
                <w:sz w:val="24"/>
                <w:szCs w:val="24"/>
                <w:lang w:val="en-GB"/>
              </w:rPr>
              <w:t>Nav noteikts</w:t>
            </w:r>
          </w:p>
        </w:tc>
      </w:tr>
      <w:tr w:rsidR="00EF0E41" w:rsidTr="002B378F">
        <w:trPr>
          <w:trHeight w:val="271"/>
        </w:trPr>
        <w:tc>
          <w:tcPr>
            <w:tcW w:w="534"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bCs/>
                <w:sz w:val="24"/>
                <w:szCs w:val="24"/>
                <w:lang w:val="en-GB"/>
              </w:rPr>
            </w:pPr>
            <w:r>
              <w:rPr>
                <w:rFonts w:cs="Times New Roman"/>
                <w:bCs/>
                <w:sz w:val="24"/>
                <w:szCs w:val="24"/>
                <w:lang w:val="en-GB"/>
              </w:rPr>
              <w:t>15.</w:t>
            </w:r>
          </w:p>
        </w:tc>
        <w:tc>
          <w:tcPr>
            <w:tcW w:w="3543" w:type="dxa"/>
            <w:tcBorders>
              <w:top w:val="single" w:sz="4" w:space="0" w:color="000000"/>
              <w:left w:val="single" w:sz="4" w:space="0" w:color="000000"/>
              <w:bottom w:val="single" w:sz="4" w:space="0" w:color="000000"/>
              <w:right w:val="single" w:sz="4" w:space="0" w:color="000000"/>
            </w:tcBorders>
            <w:hideMark/>
          </w:tcPr>
          <w:p w:rsidR="00EF0E41" w:rsidRDefault="00EF0E41" w:rsidP="0043732C">
            <w:pPr>
              <w:spacing w:beforeLines="20" w:before="48" w:afterLines="20" w:after="48"/>
              <w:jc w:val="both"/>
              <w:rPr>
                <w:rFonts w:cs="Times New Roman"/>
                <w:sz w:val="24"/>
                <w:szCs w:val="24"/>
              </w:rPr>
            </w:pPr>
            <w:r>
              <w:rPr>
                <w:rFonts w:cs="Times New Roman"/>
                <w:bCs/>
                <w:sz w:val="24"/>
                <w:szCs w:val="24"/>
              </w:rPr>
              <w:t>Piezīmes</w:t>
            </w:r>
          </w:p>
        </w:tc>
        <w:tc>
          <w:tcPr>
            <w:tcW w:w="3148"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lang w:val="en-GB"/>
              </w:rPr>
            </w:pPr>
          </w:p>
        </w:tc>
        <w:tc>
          <w:tcPr>
            <w:tcW w:w="1559" w:type="dxa"/>
            <w:tcBorders>
              <w:top w:val="single" w:sz="4" w:space="0" w:color="000000"/>
              <w:left w:val="single" w:sz="4" w:space="0" w:color="000000"/>
              <w:bottom w:val="single" w:sz="4" w:space="0" w:color="000000"/>
              <w:right w:val="single" w:sz="4" w:space="0" w:color="000000"/>
            </w:tcBorders>
          </w:tcPr>
          <w:p w:rsidR="00EF0E41" w:rsidRDefault="00EF0E41" w:rsidP="0043732C">
            <w:pPr>
              <w:spacing w:beforeLines="20" w:before="48" w:afterLines="20" w:after="48"/>
              <w:jc w:val="both"/>
              <w:rPr>
                <w:rFonts w:cs="Times New Roman"/>
                <w:sz w:val="24"/>
                <w:szCs w:val="24"/>
                <w:lang w:val="en-GB"/>
              </w:rPr>
            </w:pPr>
          </w:p>
        </w:tc>
      </w:tr>
    </w:tbl>
    <w:p w:rsidR="00EF0E41" w:rsidRDefault="00EF0E41" w:rsidP="0043732C">
      <w:pPr>
        <w:jc w:val="both"/>
        <w:rPr>
          <w:rFonts w:cs="Times New Roman"/>
          <w:bCs/>
          <w:szCs w:val="28"/>
        </w:rPr>
      </w:pPr>
      <w:r>
        <w:rPr>
          <w:rFonts w:cs="Times New Roman"/>
          <w:bCs/>
          <w:szCs w:val="28"/>
        </w:rPr>
        <w:t>”.</w:t>
      </w:r>
    </w:p>
    <w:p w:rsidR="0017283D" w:rsidRPr="007C04F6" w:rsidRDefault="00CB583F" w:rsidP="0043732C">
      <w:pPr>
        <w:pStyle w:val="ListParagraph"/>
        <w:numPr>
          <w:ilvl w:val="0"/>
          <w:numId w:val="2"/>
        </w:numPr>
        <w:jc w:val="both"/>
        <w:rPr>
          <w:rFonts w:cs="Times New Roman"/>
          <w:bCs/>
          <w:szCs w:val="28"/>
        </w:rPr>
      </w:pPr>
      <w:r w:rsidRPr="007C04F6">
        <w:rPr>
          <w:rFonts w:cs="Times New Roman"/>
          <w:bCs/>
          <w:szCs w:val="28"/>
        </w:rPr>
        <w:t>Izteikt 2. pielikuma 4</w:t>
      </w:r>
      <w:r w:rsidR="00AC4993">
        <w:rPr>
          <w:rFonts w:cs="Times New Roman"/>
          <w:bCs/>
          <w:szCs w:val="28"/>
        </w:rPr>
        <w:t>7</w:t>
      </w:r>
      <w:r w:rsidR="00DD4655" w:rsidRPr="00DD4655">
        <w:rPr>
          <w:rFonts w:cs="Times New Roman"/>
          <w:bCs/>
          <w:szCs w:val="28"/>
          <w:vertAlign w:val="superscript"/>
        </w:rPr>
        <w:t>1</w:t>
      </w:r>
      <w:r w:rsidRPr="007C04F6">
        <w:rPr>
          <w:rFonts w:cs="Times New Roman"/>
          <w:bCs/>
          <w:szCs w:val="28"/>
        </w:rPr>
        <w:t>. </w:t>
      </w:r>
      <w:r w:rsidR="0017283D" w:rsidRPr="007C04F6">
        <w:rPr>
          <w:rFonts w:cs="Times New Roman"/>
          <w:bCs/>
          <w:szCs w:val="28"/>
        </w:rPr>
        <w:t>punktu šādā redakcijā:</w:t>
      </w:r>
    </w:p>
    <w:p w:rsidR="0017283D" w:rsidRPr="0017283D" w:rsidRDefault="000418B3" w:rsidP="00222204">
      <w:pPr>
        <w:jc w:val="both"/>
        <w:rPr>
          <w:rFonts w:cs="Times New Roman"/>
          <w:b/>
          <w:sz w:val="24"/>
          <w:szCs w:val="24"/>
          <w:shd w:val="clear" w:color="auto" w:fill="FFFFFF"/>
        </w:rPr>
      </w:pPr>
      <w:r>
        <w:rPr>
          <w:rFonts w:cs="Times New Roman"/>
          <w:b/>
          <w:bCs/>
          <w:sz w:val="24"/>
          <w:szCs w:val="24"/>
          <w:shd w:val="clear" w:color="auto" w:fill="FFFFFF"/>
        </w:rPr>
        <w:lastRenderedPageBreak/>
        <w:t>“</w:t>
      </w:r>
      <w:r w:rsidR="0017283D" w:rsidRPr="0017283D">
        <w:rPr>
          <w:rFonts w:cs="Times New Roman"/>
          <w:b/>
          <w:bCs/>
          <w:sz w:val="24"/>
          <w:szCs w:val="24"/>
          <w:shd w:val="clear" w:color="auto" w:fill="FFFFFF"/>
        </w:rPr>
        <w:t>47.</w:t>
      </w:r>
      <w:r w:rsidR="0017283D" w:rsidRPr="0017283D">
        <w:rPr>
          <w:rFonts w:cs="Times New Roman"/>
          <w:b/>
          <w:bCs/>
          <w:sz w:val="24"/>
          <w:szCs w:val="24"/>
          <w:shd w:val="clear" w:color="auto" w:fill="FFFFFF"/>
          <w:vertAlign w:val="superscript"/>
        </w:rPr>
        <w:t>1</w:t>
      </w:r>
      <w:r w:rsidR="0017283D" w:rsidRPr="0017283D">
        <w:rPr>
          <w:rFonts w:cs="Times New Roman"/>
          <w:b/>
          <w:bCs/>
          <w:sz w:val="24"/>
          <w:szCs w:val="24"/>
          <w:shd w:val="clear" w:color="auto" w:fill="FFFFFF"/>
        </w:rPr>
        <w:t> Radiosaskarne RS LM.3600-1</w:t>
      </w:r>
    </w:p>
    <w:tbl>
      <w:tblPr>
        <w:tblW w:w="921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1985"/>
        <w:gridCol w:w="2835"/>
        <w:gridCol w:w="3686"/>
      </w:tblGrid>
      <w:tr w:rsidR="0017283D" w:rsidRPr="0017283D" w:rsidTr="002B378F">
        <w:trPr>
          <w:trHeight w:val="240"/>
        </w:trPr>
        <w:tc>
          <w:tcPr>
            <w:tcW w:w="9215" w:type="dxa"/>
            <w:gridSpan w:val="4"/>
            <w:tcBorders>
              <w:top w:val="single" w:sz="4" w:space="0" w:color="000000"/>
              <w:left w:val="single" w:sz="4" w:space="0" w:color="000000"/>
              <w:bottom w:val="single" w:sz="4" w:space="0" w:color="000000"/>
              <w:right w:val="single" w:sz="4" w:space="0" w:color="000000"/>
            </w:tcBorders>
            <w:vAlign w:val="center"/>
          </w:tcPr>
          <w:p w:rsidR="0017283D" w:rsidRPr="0017283D" w:rsidRDefault="0017283D" w:rsidP="0043732C">
            <w:pPr>
              <w:spacing w:beforeLines="20" w:before="48" w:afterLines="20" w:after="48"/>
              <w:jc w:val="both"/>
              <w:rPr>
                <w:rFonts w:cs="Times New Roman"/>
                <w:bCs/>
                <w:sz w:val="24"/>
                <w:szCs w:val="24"/>
              </w:rPr>
            </w:pPr>
            <w:r w:rsidRPr="0017283D">
              <w:rPr>
                <w:rFonts w:cs="Times New Roman"/>
                <w:bCs/>
                <w:sz w:val="24"/>
                <w:szCs w:val="24"/>
              </w:rPr>
              <w:t>Normatīvā daļa</w:t>
            </w:r>
          </w:p>
        </w:tc>
      </w:tr>
      <w:tr w:rsidR="0017283D" w:rsidRPr="0017283D" w:rsidTr="002B378F">
        <w:trPr>
          <w:trHeight w:val="240"/>
        </w:trPr>
        <w:tc>
          <w:tcPr>
            <w:tcW w:w="709" w:type="dxa"/>
            <w:tcBorders>
              <w:top w:val="single" w:sz="4" w:space="0" w:color="000000"/>
              <w:left w:val="single" w:sz="4" w:space="0" w:color="000000"/>
              <w:bottom w:val="single" w:sz="4" w:space="0" w:color="000000"/>
              <w:right w:val="single" w:sz="4" w:space="0" w:color="000000"/>
            </w:tcBorders>
            <w:vAlign w:val="center"/>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Nr.</w:t>
            </w:r>
          </w:p>
        </w:tc>
        <w:tc>
          <w:tcPr>
            <w:tcW w:w="1985" w:type="dxa"/>
            <w:tcBorders>
              <w:top w:val="single" w:sz="4" w:space="0" w:color="000000"/>
              <w:left w:val="single" w:sz="4" w:space="0" w:color="000000"/>
              <w:bottom w:val="single" w:sz="4" w:space="0" w:color="000000"/>
              <w:right w:val="single" w:sz="4" w:space="0" w:color="000000"/>
            </w:tcBorders>
            <w:vAlign w:val="center"/>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Parametrs</w:t>
            </w:r>
          </w:p>
        </w:tc>
        <w:tc>
          <w:tcPr>
            <w:tcW w:w="2835" w:type="dxa"/>
            <w:tcBorders>
              <w:top w:val="single" w:sz="4" w:space="0" w:color="000000"/>
              <w:left w:val="single" w:sz="4" w:space="0" w:color="000000"/>
              <w:bottom w:val="single" w:sz="4" w:space="0" w:color="000000"/>
              <w:right w:val="single" w:sz="4" w:space="0" w:color="000000"/>
            </w:tcBorders>
            <w:vAlign w:val="center"/>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Apraksts</w:t>
            </w:r>
          </w:p>
        </w:tc>
        <w:tc>
          <w:tcPr>
            <w:tcW w:w="3686" w:type="dxa"/>
            <w:tcBorders>
              <w:top w:val="single" w:sz="4" w:space="0" w:color="000000"/>
              <w:left w:val="single" w:sz="4" w:space="0" w:color="000000"/>
              <w:bottom w:val="single" w:sz="4" w:space="0" w:color="000000"/>
              <w:right w:val="single" w:sz="4" w:space="0" w:color="000000"/>
            </w:tcBorders>
            <w:vAlign w:val="center"/>
          </w:tcPr>
          <w:p w:rsidR="0017283D" w:rsidRPr="0017283D" w:rsidRDefault="0017283D" w:rsidP="0043732C">
            <w:pPr>
              <w:spacing w:beforeLines="20" w:before="48" w:afterLines="20" w:after="48"/>
              <w:jc w:val="both"/>
              <w:rPr>
                <w:rFonts w:cs="Times New Roman"/>
                <w:bCs/>
                <w:sz w:val="24"/>
                <w:szCs w:val="24"/>
              </w:rPr>
            </w:pPr>
            <w:r w:rsidRPr="0017283D">
              <w:rPr>
                <w:rFonts w:cs="Times New Roman"/>
                <w:bCs/>
                <w:sz w:val="24"/>
                <w:szCs w:val="24"/>
              </w:rPr>
              <w:t>Komentāri</w:t>
            </w:r>
          </w:p>
        </w:tc>
      </w:tr>
      <w:tr w:rsidR="0017283D" w:rsidRPr="0017283D" w:rsidTr="002B378F">
        <w:trPr>
          <w:trHeight w:val="560"/>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1.</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Radiosakaru dienests</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t>Sauszemes mobilais, fiksētais</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bCs/>
                <w:sz w:val="24"/>
                <w:szCs w:val="24"/>
              </w:rPr>
            </w:pPr>
            <w:r>
              <w:rPr>
                <w:rFonts w:eastAsia="Times New Roman" w:cs="Times New Roman"/>
                <w:sz w:val="24"/>
                <w:szCs w:val="24"/>
                <w:lang w:eastAsia="lv-LV"/>
              </w:rPr>
              <w:t>Nav definēti</w:t>
            </w:r>
          </w:p>
        </w:tc>
      </w:tr>
      <w:tr w:rsidR="0017283D" w:rsidRPr="0017283D" w:rsidTr="002B378F">
        <w:trPr>
          <w:trHeight w:val="288"/>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2.</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Piemērošana</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222204">
            <w:pPr>
              <w:spacing w:before="100" w:beforeAutospacing="1" w:after="100" w:afterAutospacing="1" w:line="60" w:lineRule="atLeast"/>
              <w:jc w:val="both"/>
              <w:rPr>
                <w:rFonts w:eastAsia="Times New Roman" w:cs="Times New Roman"/>
                <w:sz w:val="24"/>
                <w:szCs w:val="24"/>
                <w:lang w:eastAsia="lv-LV"/>
              </w:rPr>
            </w:pPr>
            <w:r w:rsidRPr="0017283D">
              <w:rPr>
                <w:rFonts w:eastAsia="Times New Roman" w:cs="Times New Roman"/>
                <w:sz w:val="24"/>
                <w:szCs w:val="24"/>
                <w:lang w:eastAsia="lv-LV"/>
              </w:rPr>
              <w:t>Zemes radiosakaru sistēmas, kas Kopienā spēj nodrošināt elektronisko sakaru pakalpojumus: BWA/IMT</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t>Bezvadu piekļuve, platjoslas elektronisko sakaru pakalpojumi</w:t>
            </w:r>
          </w:p>
        </w:tc>
      </w:tr>
      <w:tr w:rsidR="0017283D" w:rsidRPr="0017283D" w:rsidTr="002B378F">
        <w:trPr>
          <w:trHeight w:val="235"/>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3.</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Frekvenču josla</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t>3400–3800 MHz</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rPr>
            </w:pPr>
            <w:r>
              <w:rPr>
                <w:rFonts w:eastAsia="Times New Roman" w:cs="Times New Roman"/>
                <w:sz w:val="24"/>
                <w:szCs w:val="24"/>
                <w:lang w:eastAsia="lv-LV"/>
              </w:rPr>
              <w:t>Nav definēti</w:t>
            </w:r>
          </w:p>
        </w:tc>
      </w:tr>
      <w:tr w:rsidR="0017283D" w:rsidRPr="0017283D" w:rsidTr="002B378F">
        <w:trPr>
          <w:trHeight w:val="480"/>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4.</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Kanālu sadalījums</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fr-FR"/>
              </w:rPr>
            </w:pPr>
            <w:r w:rsidRPr="0017283D">
              <w:rPr>
                <w:rFonts w:eastAsia="Times New Roman" w:cs="Times New Roman"/>
                <w:sz w:val="24"/>
                <w:szCs w:val="24"/>
                <w:lang w:eastAsia="lv-LV"/>
              </w:rPr>
              <w:t xml:space="preserve">Laikdales duplekss (TDD) </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17283D" w:rsidP="00222204">
            <w:pPr>
              <w:spacing w:before="100" w:beforeAutospacing="1" w:after="100" w:afterAutospacing="1" w:line="60" w:lineRule="atLeast"/>
              <w:jc w:val="both"/>
              <w:rPr>
                <w:rFonts w:eastAsia="Times New Roman" w:cs="Times New Roman"/>
                <w:sz w:val="24"/>
                <w:szCs w:val="24"/>
                <w:lang w:eastAsia="lv-LV"/>
              </w:rPr>
            </w:pPr>
            <w:r w:rsidRPr="0017283D">
              <w:rPr>
                <w:rFonts w:eastAsia="Times New Roman" w:cs="Times New Roman"/>
                <w:sz w:val="24"/>
                <w:szCs w:val="24"/>
                <w:lang w:eastAsia="lv-LV"/>
              </w:rPr>
              <w:t>Atbilstoši Komisijas 2019. gada 24. janvāra Lēmuma (ES) 2019/235, par Lēmuma 2008/411/EK grozīšanu attiecībā uz atjauninājumiem 3400–3800 MHz frekvenču joslā piemērojamos attiecīgajos tehniskajos nosacījumos (turpmāk – Lēmums (ES) 2019/235), pielikuma B daļai.</w:t>
            </w:r>
          </w:p>
          <w:p w:rsidR="0017283D" w:rsidRPr="0017283D" w:rsidRDefault="0017283D">
            <w:pPr>
              <w:spacing w:before="100" w:beforeAutospacing="1" w:after="100" w:afterAutospacing="1" w:line="60" w:lineRule="atLeast"/>
              <w:jc w:val="both"/>
              <w:rPr>
                <w:rFonts w:eastAsia="Times New Roman" w:cs="Times New Roman"/>
                <w:sz w:val="24"/>
                <w:szCs w:val="24"/>
                <w:lang w:eastAsia="lv-LV"/>
              </w:rPr>
            </w:pPr>
            <w:r w:rsidRPr="0017283D">
              <w:rPr>
                <w:rFonts w:eastAsia="Times New Roman" w:cs="Times New Roman"/>
                <w:sz w:val="24"/>
                <w:szCs w:val="24"/>
                <w:lang w:eastAsia="lv-LV"/>
              </w:rPr>
              <w:t>Piešķirtajiem bloku lielumiem ir jābūt 5 MHz daudzkārtņiem.</w:t>
            </w:r>
          </w:p>
          <w:p w:rsidR="0017283D" w:rsidRPr="0017283D" w:rsidRDefault="0017283D" w:rsidP="0043732C">
            <w:pPr>
              <w:spacing w:beforeLines="20" w:before="48" w:afterLines="20" w:after="48"/>
              <w:jc w:val="both"/>
              <w:rPr>
                <w:rFonts w:cs="Times New Roman"/>
                <w:sz w:val="24"/>
                <w:szCs w:val="24"/>
                <w:lang w:val="fr-FR"/>
              </w:rPr>
            </w:pPr>
            <w:r w:rsidRPr="0017283D">
              <w:rPr>
                <w:rFonts w:eastAsia="Times New Roman" w:cs="Times New Roman"/>
                <w:sz w:val="24"/>
                <w:szCs w:val="24"/>
                <w:lang w:eastAsia="lv-LV"/>
              </w:rPr>
              <w:t>Ja piešķirtos blokus ir nepieciešams pārbīdīt, lai pielāgotos citiem esošiem lietotājiem, izmanto 100 kHz rastru. Blakusbloki citiem lietotājiem var tikt noteikti šaurāki, lai nodrošinātu efektīvu spektra izmantošanu</w:t>
            </w:r>
          </w:p>
        </w:tc>
      </w:tr>
      <w:tr w:rsidR="0017283D" w:rsidRPr="0017283D" w:rsidTr="002B378F">
        <w:trPr>
          <w:trHeight w:val="513"/>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5.</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cs="Times New Roman"/>
                <w:bCs/>
                <w:sz w:val="24"/>
                <w:szCs w:val="24"/>
              </w:rPr>
              <w:t>Modulācija / aizņemtā frekvenču josla</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eastAsia="Times New Roman" w:cs="Times New Roman"/>
                <w:sz w:val="24"/>
                <w:szCs w:val="24"/>
                <w:lang w:eastAsia="lv-LV"/>
              </w:rPr>
              <w:t>Ciparu</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lang w:val="en-GB"/>
              </w:rPr>
            </w:pPr>
            <w:r>
              <w:rPr>
                <w:rFonts w:eastAsia="Times New Roman" w:cs="Times New Roman"/>
                <w:sz w:val="24"/>
                <w:szCs w:val="24"/>
                <w:lang w:eastAsia="lv-LV"/>
              </w:rPr>
              <w:t>Nav definēti</w:t>
            </w:r>
          </w:p>
        </w:tc>
      </w:tr>
      <w:tr w:rsidR="0017283D" w:rsidRPr="0017283D" w:rsidTr="002B378F">
        <w:trPr>
          <w:trHeight w:val="543"/>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6.</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Virziens/nodalīšana</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eastAsia="Times New Roman" w:cs="Times New Roman"/>
                <w:sz w:val="24"/>
                <w:szCs w:val="24"/>
                <w:lang w:eastAsia="lv-LV"/>
              </w:rPr>
              <w:t>Nav noteikts</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lang w:val="en-GB"/>
              </w:rPr>
            </w:pPr>
            <w:r>
              <w:rPr>
                <w:rFonts w:eastAsia="Times New Roman" w:cs="Times New Roman"/>
                <w:sz w:val="24"/>
                <w:szCs w:val="24"/>
                <w:lang w:eastAsia="lv-LV"/>
              </w:rPr>
              <w:t>Nav definēti</w:t>
            </w:r>
          </w:p>
        </w:tc>
      </w:tr>
      <w:tr w:rsidR="0017283D" w:rsidRPr="0017283D" w:rsidTr="002B378F">
        <w:trPr>
          <w:trHeight w:val="580"/>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7.</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cs="Times New Roman"/>
                <w:bCs/>
                <w:sz w:val="24"/>
                <w:szCs w:val="24"/>
              </w:rPr>
              <w:t>Pārraides jauda / jaudas blīvums</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US"/>
              </w:rPr>
            </w:pPr>
            <w:r w:rsidRPr="0017283D">
              <w:rPr>
                <w:rFonts w:eastAsia="Times New Roman" w:cs="Times New Roman"/>
                <w:sz w:val="24"/>
                <w:szCs w:val="24"/>
                <w:lang w:eastAsia="lv-LV"/>
              </w:rPr>
              <w:t>Tiek noteikta individuāli katram radiofrekvences piešķīrumam</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jc w:val="both"/>
              <w:rPr>
                <w:rFonts w:eastAsia="Times New Roman" w:cs="Times New Roman"/>
                <w:sz w:val="24"/>
                <w:szCs w:val="24"/>
                <w:lang w:eastAsia="lv-LV"/>
              </w:rPr>
            </w:pPr>
            <w:r w:rsidRPr="0017283D">
              <w:rPr>
                <w:rFonts w:eastAsia="Times New Roman" w:cs="Times New Roman"/>
                <w:sz w:val="24"/>
                <w:szCs w:val="24"/>
                <w:lang w:eastAsia="lv-LV"/>
              </w:rPr>
              <w:t>Bāzes stacijas un galastacijas raidīšanai 3400–3800 MHz joslas ietvaros ir jāatbilst Lēmuma (ES) 2019/235 pielikuma C daļā norādītajām bloka malas maskām (BEM).</w:t>
            </w:r>
          </w:p>
          <w:p w:rsidR="0017283D" w:rsidRPr="0017283D" w:rsidRDefault="0017283D" w:rsidP="0043732C">
            <w:pPr>
              <w:pStyle w:val="tvhtml"/>
              <w:shd w:val="clear" w:color="auto" w:fill="FFFFFF"/>
              <w:spacing w:line="293" w:lineRule="atLeast"/>
              <w:jc w:val="both"/>
            </w:pPr>
            <w:r w:rsidRPr="0017283D">
              <w:lastRenderedPageBreak/>
              <w:t>1. AAS un ne-AAS bāzes staciju jaudas robežvērtības bloka ietvaros – atbilstoši Lēmuma (ES) 2019/235 pielikuma C daļas 2. tabulai.</w:t>
            </w:r>
          </w:p>
          <w:p w:rsidR="0017283D" w:rsidRPr="0017283D" w:rsidRDefault="0017283D" w:rsidP="0043732C">
            <w:pPr>
              <w:pStyle w:val="tvhtml"/>
              <w:shd w:val="clear" w:color="auto" w:fill="FFFFFF"/>
              <w:spacing w:line="293" w:lineRule="atLeast"/>
              <w:jc w:val="both"/>
            </w:pPr>
            <w:r w:rsidRPr="0017283D">
              <w:t>Femto bāzes stacijām piemēro jaudas regulēšana, lai mazinātu traucējumus blakuskanālos.</w:t>
            </w:r>
          </w:p>
          <w:p w:rsidR="0017283D" w:rsidRPr="0017283D" w:rsidRDefault="0017283D" w:rsidP="0043732C">
            <w:pPr>
              <w:pStyle w:val="tvhtml"/>
              <w:shd w:val="clear" w:color="auto" w:fill="FFFFFF"/>
              <w:spacing w:line="293" w:lineRule="atLeast"/>
              <w:jc w:val="both"/>
            </w:pPr>
            <w:r w:rsidRPr="0017283D">
              <w:t>2. Bāzes stacijas ārpusbloka BEM jaudas robežvērtības:</w:t>
            </w:r>
          </w:p>
          <w:p w:rsidR="0017283D" w:rsidRPr="0017283D" w:rsidRDefault="0017283D" w:rsidP="0043732C">
            <w:pPr>
              <w:pStyle w:val="tvhtml"/>
              <w:shd w:val="clear" w:color="auto" w:fill="FFFFFF"/>
              <w:spacing w:line="293" w:lineRule="atLeast"/>
              <w:jc w:val="both"/>
            </w:pPr>
            <w:r w:rsidRPr="0017283D">
              <w:t>Bāzlīnijas jaudas robežvērtības ne-AAS un AAS bāzes stacijām ar sinhronizētu tīkla darbību – atbilstoši Lēmuma (ES) 2019/235 pielikuma C daļas 3. tabulai.</w:t>
            </w:r>
          </w:p>
          <w:p w:rsidR="0017283D" w:rsidRPr="0017283D" w:rsidRDefault="0017283D" w:rsidP="0043732C">
            <w:pPr>
              <w:pStyle w:val="tvhtml"/>
              <w:shd w:val="clear" w:color="auto" w:fill="FFFFFF"/>
              <w:spacing w:line="293" w:lineRule="atLeast"/>
              <w:jc w:val="both"/>
            </w:pPr>
            <w:r w:rsidRPr="0017283D">
              <w:t>Pārejas apgabala jaudas robežvērtības ne-AAS un AAS bāzes stacijām ar sinhronizētu WBB ECS tīkla darbību – atbilstoši Lēmuma (ES) 2019/235 pielikuma C daļas 4. tabulai.</w:t>
            </w:r>
          </w:p>
          <w:p w:rsidR="0017283D" w:rsidRPr="0017283D" w:rsidRDefault="0017283D" w:rsidP="0043732C">
            <w:pPr>
              <w:pStyle w:val="tvhtml"/>
              <w:shd w:val="clear" w:color="auto" w:fill="FFFFFF"/>
              <w:spacing w:line="293" w:lineRule="atLeast"/>
              <w:jc w:val="both"/>
            </w:pPr>
            <w:r w:rsidRPr="0017283D">
              <w:t>Ierobežotās bāzlīnijas jaudas robežvērtības ne-AAS un AAS bāzes stacijām ar nesinhronizētu un daļēji sinhronizētu WBB ECS tīkla darbību – atbilstoši Lēmuma (ES) 2019/235 pielikuma C daļas 5. tabulai.</w:t>
            </w:r>
          </w:p>
          <w:p w:rsidR="0017283D" w:rsidRPr="0017283D" w:rsidRDefault="0017283D" w:rsidP="0043732C">
            <w:pPr>
              <w:pStyle w:val="tvhtml"/>
              <w:shd w:val="clear" w:color="auto" w:fill="FFFFFF"/>
              <w:spacing w:line="293" w:lineRule="atLeast"/>
              <w:jc w:val="both"/>
            </w:pPr>
            <w:r w:rsidRPr="0017283D">
              <w:t>Papildu bāzlīnijas jaudas robežvērtības ne-AAS un AAS bāzes stacijām zem 3400 MHz valstu īpašos gadījumos – atbilstoši Lēmuma (ES) 2019/235 pielikuma C daļas 6. tabulai.</w:t>
            </w:r>
          </w:p>
          <w:p w:rsidR="0017283D" w:rsidRPr="0017283D" w:rsidRDefault="0017283D" w:rsidP="0043732C">
            <w:pPr>
              <w:pStyle w:val="tvhtml"/>
              <w:shd w:val="clear" w:color="auto" w:fill="FFFFFF"/>
              <w:spacing w:line="293" w:lineRule="atLeast"/>
              <w:jc w:val="both"/>
            </w:pPr>
            <w:r w:rsidRPr="0017283D">
              <w:t xml:space="preserve">Paskaidrojums par 6. tabulu: </w:t>
            </w:r>
          </w:p>
          <w:p w:rsidR="0017283D" w:rsidRPr="0017283D" w:rsidRDefault="0017283D" w:rsidP="0043732C">
            <w:pPr>
              <w:pStyle w:val="tvhtml"/>
              <w:shd w:val="clear" w:color="auto" w:fill="FFFFFF"/>
              <w:spacing w:line="293" w:lineRule="atLeast"/>
              <w:jc w:val="both"/>
            </w:pPr>
            <w:r w:rsidRPr="0017283D">
              <w:t xml:space="preserve">Attiecībā uz ne-AAS var izvēlēties robežvērtības no A vai B gadījuma atkarībā no tā, kāds aizsardzības līmenis vajadzīgs radaram </w:t>
            </w:r>
            <w:r w:rsidRPr="0017283D">
              <w:lastRenderedPageBreak/>
              <w:t>attiecīgajā apgabalā. Var būt nepieciešami citi traucējumu mazināšanas pasākumi, piemēram, ģeogrāfiskā nošķiršana, koordinācija katrā atsevišķā gadījumā vai papildu aizsargjosla. Ja bāzes stacija ierīkota iekštelpās, robežvērtības var tikt noteiktas brīvāk, atbilstīgi specifiskiem īstenošanas gadījumiem. Bez blakusjoslu izmantojuma vai ar izmantojumu, kam nav vajadzīga papildu aizsardzība var izvēlēties C gadījumu.</w:t>
            </w:r>
          </w:p>
          <w:p w:rsidR="0017283D" w:rsidRPr="0017283D" w:rsidRDefault="0017283D" w:rsidP="0043732C">
            <w:pPr>
              <w:pStyle w:val="tvhtml"/>
              <w:shd w:val="clear" w:color="auto" w:fill="FFFFFF"/>
              <w:spacing w:line="293" w:lineRule="atLeast"/>
              <w:jc w:val="both"/>
            </w:pPr>
            <w:r w:rsidRPr="0017283D">
              <w:t>Papildu bāzlīnijas jaudas robežvērtības virs 3800 MHz bāzes stacijām līdzāspastāvēšanai ar FSS/FS – atbilstoši Lēmuma (ES) 2019/235 pielikuma C daļas 7. tabulai.</w:t>
            </w:r>
          </w:p>
          <w:p w:rsidR="0017283D" w:rsidRPr="0017283D" w:rsidRDefault="0017283D" w:rsidP="0043732C">
            <w:pPr>
              <w:pStyle w:val="tvhtml"/>
              <w:shd w:val="clear" w:color="auto" w:fill="FFFFFF"/>
              <w:spacing w:before="0" w:beforeAutospacing="0" w:after="0" w:afterAutospacing="0"/>
              <w:jc w:val="both"/>
            </w:pPr>
            <w:r w:rsidRPr="0017283D">
              <w:t xml:space="preserve">3. Tehniskie nosacījumi galastacijām. Galastacijas BEM jaudas robežvērtība bloka ietvaros – atbilstoši Lēmuma (ES) 2019/235 pielikuma D daļas 8. tabulai: </w:t>
            </w:r>
          </w:p>
          <w:p w:rsidR="0017283D" w:rsidRPr="0017283D" w:rsidRDefault="0017283D" w:rsidP="0043732C">
            <w:pPr>
              <w:pStyle w:val="tvhtml"/>
              <w:shd w:val="clear" w:color="auto" w:fill="FFFFFF"/>
              <w:spacing w:before="0" w:beforeAutospacing="0" w:line="293" w:lineRule="atLeast"/>
              <w:jc w:val="both"/>
            </w:pPr>
            <w:r w:rsidRPr="0017283D">
              <w:t>maksimālā jauda bloka ietvaros 28 dBm TRP.</w:t>
            </w:r>
          </w:p>
          <w:p w:rsidR="0017283D" w:rsidRPr="0017283D" w:rsidRDefault="0017283D" w:rsidP="0043732C">
            <w:pPr>
              <w:pStyle w:val="tvhtml"/>
              <w:shd w:val="clear" w:color="auto" w:fill="FFFFFF"/>
              <w:spacing w:line="293" w:lineRule="atLeast"/>
              <w:jc w:val="both"/>
            </w:pPr>
            <w:r w:rsidRPr="0017283D">
              <w:t>BEM elementu definīcijas dotas Lēmuma (ES) 2019/235 pielikuma C daļas 1. tabulā.</w:t>
            </w:r>
          </w:p>
          <w:p w:rsidR="0017283D" w:rsidRPr="0017283D" w:rsidRDefault="0017283D" w:rsidP="0043732C">
            <w:pPr>
              <w:pStyle w:val="tvhtml"/>
              <w:shd w:val="clear" w:color="auto" w:fill="FFFFFF"/>
              <w:spacing w:line="293" w:lineRule="atLeast"/>
              <w:jc w:val="both"/>
            </w:pPr>
            <w:r w:rsidRPr="0017283D">
              <w:t>BEM ir jāizpilda, lai nodrošinātu kaimiņtīklu līdzāspastāvēšanu, ja starp šādu kaimiņtīklu operatoriem nav divpusēju vai daudzpusēju nolīgumu. Var izmantot arī mazāk ierobežojošus tehniskos parametrus, ja par to vienojas attiecīgo tīklu operatori</w:t>
            </w:r>
          </w:p>
        </w:tc>
      </w:tr>
      <w:tr w:rsidR="0017283D" w:rsidRPr="0017283D" w:rsidTr="002B378F">
        <w:trPr>
          <w:trHeight w:val="548"/>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lastRenderedPageBreak/>
              <w:t>8.</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Kanāla piekļuves un lietošanas noteikumi</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222204">
            <w:pPr>
              <w:spacing w:before="100" w:beforeAutospacing="1" w:after="100" w:afterAutospacing="1" w:line="60" w:lineRule="atLeast"/>
              <w:contextualSpacing/>
              <w:jc w:val="both"/>
              <w:rPr>
                <w:rFonts w:eastAsia="Times New Roman" w:cs="Times New Roman"/>
                <w:sz w:val="24"/>
                <w:szCs w:val="24"/>
                <w:lang w:eastAsia="lv-LV"/>
              </w:rPr>
            </w:pPr>
            <w:r w:rsidRPr="0017283D">
              <w:rPr>
                <w:rFonts w:eastAsia="Times New Roman" w:cs="Times New Roman"/>
                <w:sz w:val="24"/>
                <w:szCs w:val="24"/>
                <w:lang w:eastAsia="lv-LV"/>
              </w:rPr>
              <w:t xml:space="preserve">Atbilstoši Lēmumam </w:t>
            </w:r>
            <w:r w:rsidRPr="0017283D">
              <w:rPr>
                <w:rFonts w:cs="Times New Roman"/>
                <w:sz w:val="24"/>
                <w:szCs w:val="24"/>
              </w:rPr>
              <w:t>(ES) 2019/235</w:t>
            </w:r>
            <w:r w:rsidRPr="0017283D">
              <w:rPr>
                <w:rFonts w:eastAsia="Times New Roman" w:cs="Times New Roman"/>
                <w:sz w:val="24"/>
                <w:szCs w:val="24"/>
                <w:lang w:eastAsia="lv-LV"/>
              </w:rPr>
              <w:t>:</w:t>
            </w:r>
          </w:p>
          <w:p w:rsidR="0017283D" w:rsidRPr="0017283D" w:rsidRDefault="0017283D">
            <w:pPr>
              <w:spacing w:before="100" w:beforeAutospacing="1" w:after="100" w:afterAutospacing="1" w:line="60" w:lineRule="atLeast"/>
              <w:contextualSpacing/>
              <w:jc w:val="both"/>
              <w:rPr>
                <w:rFonts w:eastAsia="Times New Roman" w:cs="Times New Roman"/>
                <w:sz w:val="24"/>
                <w:szCs w:val="24"/>
                <w:lang w:eastAsia="lv-LV"/>
              </w:rPr>
            </w:pPr>
            <w:r w:rsidRPr="0017283D">
              <w:rPr>
                <w:rFonts w:eastAsia="Times New Roman" w:cs="Times New Roman"/>
                <w:sz w:val="24"/>
                <w:szCs w:val="24"/>
                <w:lang w:eastAsia="lv-LV"/>
              </w:rPr>
              <w:t>Laikdales duplekss (TDD)</w:t>
            </w:r>
          </w:p>
          <w:p w:rsidR="0017283D" w:rsidRPr="0017283D" w:rsidRDefault="0017283D">
            <w:pPr>
              <w:spacing w:before="100" w:beforeAutospacing="1" w:after="100" w:afterAutospacing="1" w:line="60" w:lineRule="atLeast"/>
              <w:contextualSpacing/>
              <w:jc w:val="both"/>
              <w:rPr>
                <w:rFonts w:eastAsia="Times New Roman" w:cs="Times New Roman"/>
                <w:sz w:val="24"/>
                <w:szCs w:val="24"/>
                <w:lang w:eastAsia="lv-LV"/>
              </w:rPr>
            </w:pPr>
            <w:r w:rsidRPr="0017283D">
              <w:rPr>
                <w:rFonts w:eastAsia="Times New Roman" w:cs="Times New Roman"/>
                <w:sz w:val="24"/>
                <w:szCs w:val="24"/>
                <w:lang w:eastAsia="lv-LV"/>
              </w:rPr>
              <w:t>Raidīšanas frekvences:</w:t>
            </w:r>
          </w:p>
          <w:p w:rsidR="0017283D" w:rsidRPr="0017283D" w:rsidRDefault="0017283D" w:rsidP="0043732C">
            <w:pPr>
              <w:spacing w:beforeLines="20" w:before="48" w:afterLines="20" w:after="48"/>
              <w:jc w:val="both"/>
              <w:rPr>
                <w:rFonts w:cs="Times New Roman"/>
                <w:sz w:val="24"/>
                <w:szCs w:val="24"/>
                <w:lang w:val="en-GB"/>
              </w:rPr>
            </w:pPr>
            <w:r w:rsidRPr="0017283D">
              <w:rPr>
                <w:rFonts w:eastAsia="Times New Roman" w:cs="Times New Roman"/>
                <w:sz w:val="24"/>
                <w:szCs w:val="24"/>
                <w:lang w:eastAsia="lv-LV"/>
              </w:rPr>
              <w:lastRenderedPageBreak/>
              <w:t>ML/FB: TDD: 3400–3800 MHz</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eastAsia="Times New Roman" w:cs="Times New Roman"/>
                <w:sz w:val="24"/>
                <w:szCs w:val="24"/>
                <w:lang w:eastAsia="lv-LV"/>
              </w:rPr>
            </w:pPr>
            <w:r w:rsidRPr="0017283D">
              <w:rPr>
                <w:rFonts w:eastAsia="Times New Roman" w:cs="Times New Roman"/>
                <w:sz w:val="24"/>
                <w:szCs w:val="24"/>
                <w:lang w:eastAsia="lv-LV"/>
              </w:rPr>
              <w:lastRenderedPageBreak/>
              <w:t>Bāzes stacijas retranslators raida/uztver gan ML, gan FB radiofrekvencēs.</w:t>
            </w:r>
          </w:p>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lastRenderedPageBreak/>
              <w:t>Jānodrošina pietiekama blakusjoslu sistēmu aizsardzība</w:t>
            </w:r>
          </w:p>
        </w:tc>
      </w:tr>
      <w:tr w:rsidR="0017283D" w:rsidRPr="0017283D" w:rsidTr="002B378F">
        <w:trPr>
          <w:trHeight w:val="416"/>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lastRenderedPageBreak/>
              <w:t>9.</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cs="Times New Roman"/>
                <w:bCs/>
                <w:sz w:val="24"/>
                <w:szCs w:val="24"/>
              </w:rPr>
              <w:t>Atļaujas piešķiršanas procedūra</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t>Individuāls radiofrekvences piešķīrums bāzes stacijai un bāzes stacijas retranslatoram</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i/>
                <w:iCs/>
                <w:sz w:val="24"/>
                <w:szCs w:val="24"/>
                <w:lang w:val="en-GB"/>
              </w:rPr>
            </w:pPr>
            <w:r>
              <w:rPr>
                <w:rFonts w:eastAsia="Times New Roman" w:cs="Times New Roman"/>
                <w:sz w:val="24"/>
                <w:szCs w:val="24"/>
                <w:lang w:eastAsia="lv-LV"/>
              </w:rPr>
              <w:t>Nav definēti</w:t>
            </w:r>
          </w:p>
        </w:tc>
      </w:tr>
      <w:tr w:rsidR="0017283D" w:rsidRPr="0017283D" w:rsidTr="002B378F">
        <w:trPr>
          <w:trHeight w:val="372"/>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10.</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line="240" w:lineRule="auto"/>
              <w:jc w:val="both"/>
              <w:rPr>
                <w:rFonts w:cs="Times New Roman"/>
                <w:sz w:val="24"/>
                <w:szCs w:val="24"/>
              </w:rPr>
            </w:pPr>
            <w:r w:rsidRPr="0017283D">
              <w:rPr>
                <w:rFonts w:cs="Times New Roman"/>
                <w:bCs/>
                <w:sz w:val="24"/>
                <w:szCs w:val="24"/>
              </w:rPr>
              <w:t>Būtiskas papildu prasības saskaņā ar Direktīvas 2014/53/ES 3. panta 3. punktu</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eastAsia="Times New Roman" w:cs="Times New Roman"/>
                <w:sz w:val="24"/>
                <w:szCs w:val="24"/>
                <w:lang w:eastAsia="lv-LV"/>
              </w:rPr>
              <w:t>Nav noteiktas</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lang w:val="en-GB"/>
              </w:rPr>
            </w:pPr>
            <w:r>
              <w:rPr>
                <w:rFonts w:eastAsia="Times New Roman" w:cs="Times New Roman"/>
                <w:sz w:val="24"/>
                <w:szCs w:val="24"/>
                <w:lang w:eastAsia="lv-LV"/>
              </w:rPr>
              <w:t>Nav definēti</w:t>
            </w:r>
          </w:p>
        </w:tc>
      </w:tr>
      <w:tr w:rsidR="0017283D" w:rsidRPr="0017283D" w:rsidTr="002B378F">
        <w:trPr>
          <w:trHeight w:val="839"/>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11.</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cs="Times New Roman"/>
                <w:bCs/>
                <w:sz w:val="24"/>
                <w:szCs w:val="24"/>
              </w:rPr>
              <w:t>Frekvenču diapazona plānojuma apsvērumi</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17283D" w:rsidP="00222204">
            <w:pPr>
              <w:spacing w:before="100" w:beforeAutospacing="1" w:after="100" w:afterAutospacing="1" w:line="60" w:lineRule="atLeast"/>
              <w:contextualSpacing/>
              <w:jc w:val="both"/>
              <w:rPr>
                <w:rFonts w:eastAsia="Times New Roman" w:cs="Times New Roman"/>
                <w:sz w:val="24"/>
                <w:szCs w:val="24"/>
                <w:lang w:eastAsia="lv-LV"/>
              </w:rPr>
            </w:pPr>
            <w:r w:rsidRPr="0017283D">
              <w:rPr>
                <w:rFonts w:eastAsia="Times New Roman" w:cs="Times New Roman"/>
                <w:sz w:val="24"/>
                <w:szCs w:val="24"/>
                <w:lang w:eastAsia="lv-LV"/>
              </w:rPr>
              <w:t xml:space="preserve">Komisijas Lēmums </w:t>
            </w:r>
            <w:r w:rsidRPr="0017283D">
              <w:rPr>
                <w:rFonts w:cs="Times New Roman"/>
                <w:sz w:val="24"/>
                <w:szCs w:val="24"/>
              </w:rPr>
              <w:t>(ES) 2019/235</w:t>
            </w:r>
          </w:p>
          <w:p w:rsidR="0017283D" w:rsidRPr="0017283D" w:rsidRDefault="0017283D">
            <w:pPr>
              <w:spacing w:before="100" w:beforeAutospacing="1" w:after="100" w:afterAutospacing="1" w:line="60" w:lineRule="atLeast"/>
              <w:contextualSpacing/>
              <w:jc w:val="both"/>
              <w:rPr>
                <w:rFonts w:eastAsia="Times New Roman" w:cs="Times New Roman"/>
                <w:sz w:val="24"/>
                <w:szCs w:val="24"/>
                <w:lang w:eastAsia="lv-LV"/>
              </w:rPr>
            </w:pPr>
          </w:p>
          <w:p w:rsidR="0017283D" w:rsidRPr="0017283D" w:rsidRDefault="0017283D">
            <w:pPr>
              <w:spacing w:before="100" w:beforeAutospacing="1" w:after="100" w:afterAutospacing="1" w:line="60" w:lineRule="atLeast"/>
              <w:contextualSpacing/>
              <w:jc w:val="both"/>
              <w:rPr>
                <w:rFonts w:eastAsia="Times New Roman" w:cs="Times New Roman"/>
                <w:sz w:val="24"/>
                <w:szCs w:val="24"/>
                <w:lang w:eastAsia="lv-LV"/>
              </w:rPr>
            </w:pPr>
            <w:r w:rsidRPr="0017283D">
              <w:rPr>
                <w:rFonts w:eastAsia="Times New Roman" w:cs="Times New Roman"/>
                <w:sz w:val="24"/>
                <w:szCs w:val="24"/>
                <w:lang w:eastAsia="lv-LV"/>
              </w:rPr>
              <w:t>ECC/DEC/(11)06</w:t>
            </w:r>
          </w:p>
          <w:p w:rsidR="0017283D" w:rsidRPr="0017283D" w:rsidRDefault="0017283D">
            <w:pPr>
              <w:spacing w:before="100" w:beforeAutospacing="1" w:after="100" w:afterAutospacing="1" w:line="60" w:lineRule="atLeast"/>
              <w:contextualSpacing/>
              <w:jc w:val="both"/>
              <w:rPr>
                <w:rFonts w:eastAsia="Times New Roman" w:cs="Times New Roman"/>
                <w:sz w:val="24"/>
                <w:szCs w:val="24"/>
                <w:lang w:eastAsia="lv-LV"/>
              </w:rPr>
            </w:pPr>
          </w:p>
          <w:p w:rsidR="0017283D" w:rsidRPr="0017283D" w:rsidRDefault="0017283D" w:rsidP="0043732C">
            <w:pPr>
              <w:spacing w:beforeLines="20" w:before="48" w:afterLines="20" w:after="48"/>
              <w:jc w:val="both"/>
              <w:rPr>
                <w:rFonts w:eastAsia="Times New Roman" w:cs="Times New Roman"/>
                <w:sz w:val="24"/>
                <w:szCs w:val="24"/>
                <w:lang w:eastAsia="lv-LV"/>
              </w:rPr>
            </w:pPr>
            <w:r w:rsidRPr="0017283D">
              <w:rPr>
                <w:rFonts w:eastAsia="Times New Roman" w:cs="Times New Roman"/>
                <w:sz w:val="24"/>
                <w:szCs w:val="24"/>
                <w:lang w:eastAsia="lv-LV"/>
              </w:rPr>
              <w:t>ECC Ziņojums Nr. 216</w:t>
            </w:r>
          </w:p>
          <w:p w:rsidR="0017283D" w:rsidRPr="0017283D" w:rsidRDefault="0017283D" w:rsidP="0043732C">
            <w:pPr>
              <w:spacing w:beforeLines="20" w:before="48" w:afterLines="20" w:after="48"/>
              <w:jc w:val="both"/>
              <w:rPr>
                <w:rFonts w:eastAsia="Times New Roman" w:cs="Times New Roman"/>
                <w:sz w:val="24"/>
                <w:szCs w:val="24"/>
                <w:lang w:eastAsia="lv-LV"/>
              </w:rPr>
            </w:pPr>
          </w:p>
          <w:p w:rsidR="0017283D" w:rsidRPr="0017283D" w:rsidRDefault="0017283D" w:rsidP="0043732C">
            <w:pPr>
              <w:spacing w:beforeLines="20" w:before="48" w:afterLines="20" w:after="48"/>
              <w:jc w:val="both"/>
              <w:rPr>
                <w:rFonts w:eastAsia="Times New Roman" w:cs="Times New Roman"/>
                <w:sz w:val="24"/>
                <w:szCs w:val="24"/>
                <w:lang w:eastAsia="lv-LV"/>
              </w:rPr>
            </w:pPr>
            <w:r w:rsidRPr="0017283D">
              <w:rPr>
                <w:rFonts w:eastAsia="Times New Roman" w:cs="Times New Roman"/>
                <w:sz w:val="24"/>
                <w:szCs w:val="24"/>
                <w:lang w:eastAsia="lv-LV"/>
              </w:rPr>
              <w:t>ECC ziņojums Nr. 296</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eastAsia="Times New Roman" w:cs="Times New Roman"/>
                <w:sz w:val="24"/>
                <w:szCs w:val="24"/>
                <w:lang w:eastAsia="lv-LV"/>
              </w:rPr>
            </w:pPr>
            <w:r w:rsidRPr="0017283D">
              <w:rPr>
                <w:rFonts w:eastAsia="Times New Roman" w:cs="Times New Roman"/>
                <w:sz w:val="24"/>
                <w:szCs w:val="24"/>
                <w:lang w:eastAsia="lv-LV"/>
              </w:rPr>
              <w:t>Radiofrekvenču josla 3400–3800 MHz paredzēta publisko elektronisko sakaru tīklu izveidošanai visā Latvijas Republikas teritorijā. Vienam elektronisko sakaru komersantam publiskā elektronisko sakaru tīkla izveidošanai visā Latvijas Republikas teritorijā minimālais pieejamais nepārtraukta frekvenču bloka platums ir 50 MHz (vēlamais 80 – 100 MHz).</w:t>
            </w:r>
          </w:p>
          <w:p w:rsidR="0017283D" w:rsidRPr="0017283D" w:rsidRDefault="0017283D" w:rsidP="0043732C">
            <w:pPr>
              <w:spacing w:beforeLines="20" w:before="48" w:afterLines="20" w:after="48"/>
              <w:jc w:val="both"/>
              <w:rPr>
                <w:rFonts w:eastAsia="Times New Roman" w:cs="Times New Roman"/>
                <w:sz w:val="24"/>
                <w:szCs w:val="24"/>
                <w:lang w:eastAsia="lv-LV"/>
              </w:rPr>
            </w:pPr>
          </w:p>
          <w:p w:rsidR="0017283D" w:rsidRPr="0017283D" w:rsidRDefault="0017283D" w:rsidP="0043732C">
            <w:pPr>
              <w:spacing w:beforeLines="20" w:before="48" w:afterLines="20" w:after="48"/>
              <w:jc w:val="both"/>
              <w:rPr>
                <w:rFonts w:cs="Times New Roman"/>
                <w:sz w:val="24"/>
                <w:szCs w:val="24"/>
              </w:rPr>
            </w:pPr>
            <w:r w:rsidRPr="0017283D">
              <w:rPr>
                <w:rFonts w:eastAsia="Times New Roman" w:cs="Times New Roman"/>
                <w:sz w:val="24"/>
                <w:szCs w:val="24"/>
                <w:lang w:eastAsia="lv-LV"/>
              </w:rPr>
              <w:t>Zemes radiosakaru sistēmas jāizvēlas tādas, kuru pamatā ir vai nu sinhronizēta, vai daļēji sinhronizēta, vai nesinhronizēta tīkla darbība, un jānodrošina spektra efektīva izmantošana. Jāņem vērā secinājumi, kas izklāstīti ECC 296. ziņojumā par sinhronizāciju</w:t>
            </w:r>
          </w:p>
        </w:tc>
      </w:tr>
      <w:tr w:rsidR="0017283D" w:rsidRPr="0017283D" w:rsidTr="002B378F">
        <w:trPr>
          <w:trHeight w:val="290"/>
        </w:trPr>
        <w:tc>
          <w:tcPr>
            <w:tcW w:w="9215" w:type="dxa"/>
            <w:gridSpan w:val="4"/>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lang w:val="en-GB"/>
              </w:rPr>
            </w:pPr>
            <w:r w:rsidRPr="0017283D">
              <w:rPr>
                <w:rFonts w:cs="Times New Roman"/>
                <w:bCs/>
                <w:sz w:val="24"/>
                <w:szCs w:val="24"/>
              </w:rPr>
              <w:t>Informatīvā daļa</w:t>
            </w:r>
          </w:p>
        </w:tc>
      </w:tr>
      <w:tr w:rsidR="0017283D" w:rsidRPr="0017283D" w:rsidTr="002B378F">
        <w:trPr>
          <w:trHeight w:val="290"/>
        </w:trPr>
        <w:tc>
          <w:tcPr>
            <w:tcW w:w="709"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bCs/>
                <w:sz w:val="24"/>
                <w:szCs w:val="24"/>
                <w:lang w:val="en-GB"/>
              </w:rPr>
            </w:pPr>
            <w:r w:rsidRPr="0017283D">
              <w:rPr>
                <w:rFonts w:cs="Times New Roman"/>
                <w:bCs/>
                <w:sz w:val="24"/>
                <w:szCs w:val="24"/>
                <w:lang w:val="en-GB"/>
              </w:rPr>
              <w:t>12.</w:t>
            </w:r>
          </w:p>
        </w:tc>
        <w:tc>
          <w:tcPr>
            <w:tcW w:w="1985" w:type="dxa"/>
            <w:tcBorders>
              <w:top w:val="single" w:sz="4" w:space="0" w:color="000000"/>
              <w:left w:val="single" w:sz="4" w:space="0" w:color="000000"/>
              <w:bottom w:val="single" w:sz="4" w:space="0" w:color="000000"/>
              <w:right w:val="single" w:sz="4" w:space="0" w:color="000000"/>
            </w:tcBorders>
          </w:tcPr>
          <w:p w:rsidR="0017283D" w:rsidRPr="0017283D" w:rsidRDefault="0017283D" w:rsidP="0043732C">
            <w:pPr>
              <w:spacing w:beforeLines="20" w:before="48" w:afterLines="20" w:after="48"/>
              <w:jc w:val="both"/>
              <w:rPr>
                <w:rFonts w:cs="Times New Roman"/>
                <w:sz w:val="24"/>
                <w:szCs w:val="24"/>
              </w:rPr>
            </w:pPr>
            <w:r w:rsidRPr="0017283D">
              <w:rPr>
                <w:rFonts w:cs="Times New Roman"/>
                <w:bCs/>
                <w:sz w:val="24"/>
                <w:szCs w:val="24"/>
              </w:rPr>
              <w:t>Paredzētie grozījumi</w:t>
            </w:r>
          </w:p>
        </w:tc>
        <w:tc>
          <w:tcPr>
            <w:tcW w:w="2835"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lang w:val="en-GB"/>
              </w:rPr>
            </w:pPr>
            <w:r>
              <w:rPr>
                <w:rFonts w:eastAsia="Times New Roman" w:cs="Times New Roman"/>
                <w:sz w:val="24"/>
                <w:szCs w:val="24"/>
                <w:lang w:eastAsia="lv-LV"/>
              </w:rPr>
              <w:t>Nav noteikts</w:t>
            </w:r>
          </w:p>
        </w:tc>
        <w:tc>
          <w:tcPr>
            <w:tcW w:w="3686" w:type="dxa"/>
            <w:tcBorders>
              <w:top w:val="single" w:sz="4" w:space="0" w:color="000000"/>
              <w:left w:val="single" w:sz="4" w:space="0" w:color="000000"/>
              <w:bottom w:val="single" w:sz="4" w:space="0" w:color="000000"/>
              <w:right w:val="single" w:sz="4" w:space="0" w:color="000000"/>
            </w:tcBorders>
          </w:tcPr>
          <w:p w:rsidR="0017283D" w:rsidRPr="0017283D" w:rsidRDefault="00661636" w:rsidP="0043732C">
            <w:pPr>
              <w:spacing w:beforeLines="20" w:before="48" w:afterLines="20" w:after="48"/>
              <w:jc w:val="both"/>
              <w:rPr>
                <w:rFonts w:cs="Times New Roman"/>
                <w:sz w:val="24"/>
                <w:szCs w:val="24"/>
                <w:lang w:val="en-GB"/>
              </w:rPr>
            </w:pPr>
            <w:r>
              <w:rPr>
                <w:rFonts w:eastAsia="Times New Roman" w:cs="Times New Roman"/>
                <w:sz w:val="24"/>
                <w:szCs w:val="24"/>
                <w:lang w:eastAsia="lv-LV"/>
              </w:rPr>
              <w:t>Nav noteikts</w:t>
            </w:r>
          </w:p>
        </w:tc>
      </w:tr>
      <w:tr w:rsidR="0017283D" w:rsidRPr="000418B3" w:rsidTr="002B378F">
        <w:trPr>
          <w:trHeight w:val="341"/>
        </w:trPr>
        <w:tc>
          <w:tcPr>
            <w:tcW w:w="709"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bCs/>
                <w:sz w:val="24"/>
                <w:szCs w:val="24"/>
                <w:lang w:val="en-GB"/>
              </w:rPr>
            </w:pPr>
            <w:r w:rsidRPr="000418B3">
              <w:rPr>
                <w:rFonts w:cs="Times New Roman"/>
                <w:bCs/>
                <w:sz w:val="24"/>
                <w:szCs w:val="24"/>
                <w:lang w:val="en-GB"/>
              </w:rPr>
              <w:t>13.</w:t>
            </w:r>
          </w:p>
        </w:tc>
        <w:tc>
          <w:tcPr>
            <w:tcW w:w="198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rPr>
            </w:pPr>
            <w:r w:rsidRPr="000418B3">
              <w:rPr>
                <w:rFonts w:cs="Times New Roman"/>
                <w:bCs/>
                <w:sz w:val="24"/>
                <w:szCs w:val="24"/>
              </w:rPr>
              <w:t>Atsauce</w:t>
            </w:r>
          </w:p>
        </w:tc>
        <w:tc>
          <w:tcPr>
            <w:tcW w:w="283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rPr>
            </w:pPr>
            <w:r w:rsidRPr="000418B3">
              <w:rPr>
                <w:rFonts w:eastAsia="Times New Roman" w:cs="Times New Roman"/>
                <w:sz w:val="24"/>
                <w:szCs w:val="24"/>
                <w:lang w:eastAsia="lv-LV"/>
              </w:rPr>
              <w:t>Nav noteikta</w:t>
            </w:r>
          </w:p>
        </w:tc>
        <w:tc>
          <w:tcPr>
            <w:tcW w:w="3686" w:type="dxa"/>
            <w:tcBorders>
              <w:top w:val="single" w:sz="4" w:space="0" w:color="000000"/>
              <w:left w:val="single" w:sz="4" w:space="0" w:color="000000"/>
              <w:bottom w:val="single" w:sz="4" w:space="0" w:color="000000"/>
              <w:right w:val="single" w:sz="4" w:space="0" w:color="000000"/>
            </w:tcBorders>
          </w:tcPr>
          <w:p w:rsidR="0017283D" w:rsidRPr="000418B3" w:rsidRDefault="00661636" w:rsidP="0043732C">
            <w:pPr>
              <w:spacing w:beforeLines="20" w:before="48" w:afterLines="20" w:after="48"/>
              <w:jc w:val="both"/>
              <w:rPr>
                <w:rFonts w:cs="Times New Roman"/>
                <w:sz w:val="24"/>
                <w:szCs w:val="24"/>
                <w:lang w:val="en-GB"/>
              </w:rPr>
            </w:pPr>
            <w:r w:rsidRPr="000418B3">
              <w:rPr>
                <w:rFonts w:eastAsia="Times New Roman" w:cs="Times New Roman"/>
                <w:sz w:val="24"/>
                <w:szCs w:val="24"/>
                <w:lang w:eastAsia="lv-LV"/>
              </w:rPr>
              <w:t>Nav noteikts</w:t>
            </w:r>
          </w:p>
        </w:tc>
      </w:tr>
      <w:tr w:rsidR="0017283D" w:rsidRPr="000418B3" w:rsidTr="002B378F">
        <w:trPr>
          <w:trHeight w:val="290"/>
        </w:trPr>
        <w:tc>
          <w:tcPr>
            <w:tcW w:w="709"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bCs/>
                <w:sz w:val="24"/>
                <w:szCs w:val="24"/>
                <w:lang w:val="en-GB"/>
              </w:rPr>
            </w:pPr>
            <w:r w:rsidRPr="000418B3">
              <w:rPr>
                <w:rFonts w:cs="Times New Roman"/>
                <w:bCs/>
                <w:sz w:val="24"/>
                <w:szCs w:val="24"/>
                <w:lang w:val="en-GB"/>
              </w:rPr>
              <w:t>14.</w:t>
            </w:r>
          </w:p>
        </w:tc>
        <w:tc>
          <w:tcPr>
            <w:tcW w:w="198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rPr>
            </w:pPr>
            <w:r w:rsidRPr="000418B3">
              <w:rPr>
                <w:rFonts w:cs="Times New Roman"/>
                <w:bCs/>
                <w:sz w:val="24"/>
                <w:szCs w:val="24"/>
              </w:rPr>
              <w:t>Paziņojuma numurs</w:t>
            </w:r>
          </w:p>
        </w:tc>
        <w:tc>
          <w:tcPr>
            <w:tcW w:w="283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rPr>
            </w:pPr>
            <w:r w:rsidRPr="000418B3">
              <w:rPr>
                <w:rFonts w:eastAsia="Times New Roman" w:cs="Times New Roman"/>
                <w:sz w:val="24"/>
                <w:szCs w:val="24"/>
                <w:lang w:eastAsia="lv-LV"/>
              </w:rPr>
              <w:t>Nav noteikts</w:t>
            </w:r>
          </w:p>
        </w:tc>
        <w:tc>
          <w:tcPr>
            <w:tcW w:w="3686" w:type="dxa"/>
            <w:tcBorders>
              <w:top w:val="single" w:sz="4" w:space="0" w:color="000000"/>
              <w:left w:val="single" w:sz="4" w:space="0" w:color="000000"/>
              <w:bottom w:val="single" w:sz="4" w:space="0" w:color="000000"/>
              <w:right w:val="single" w:sz="4" w:space="0" w:color="000000"/>
            </w:tcBorders>
          </w:tcPr>
          <w:p w:rsidR="0017283D" w:rsidRPr="000418B3" w:rsidRDefault="00661636" w:rsidP="0043732C">
            <w:pPr>
              <w:spacing w:beforeLines="20" w:before="48" w:afterLines="20" w:after="48"/>
              <w:jc w:val="both"/>
              <w:rPr>
                <w:rFonts w:cs="Times New Roman"/>
                <w:sz w:val="24"/>
                <w:szCs w:val="24"/>
                <w:lang w:val="en-GB"/>
              </w:rPr>
            </w:pPr>
            <w:r w:rsidRPr="000418B3">
              <w:rPr>
                <w:rFonts w:eastAsia="Times New Roman" w:cs="Times New Roman"/>
                <w:sz w:val="24"/>
                <w:szCs w:val="24"/>
                <w:lang w:eastAsia="lv-LV"/>
              </w:rPr>
              <w:t>Nav noteikts</w:t>
            </w:r>
          </w:p>
        </w:tc>
      </w:tr>
      <w:tr w:rsidR="0017283D" w:rsidRPr="000418B3" w:rsidTr="002B378F">
        <w:trPr>
          <w:trHeight w:val="271"/>
        </w:trPr>
        <w:tc>
          <w:tcPr>
            <w:tcW w:w="709"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bCs/>
                <w:sz w:val="24"/>
                <w:szCs w:val="24"/>
                <w:lang w:val="en-GB"/>
              </w:rPr>
            </w:pPr>
            <w:r w:rsidRPr="000418B3">
              <w:rPr>
                <w:rFonts w:cs="Times New Roman"/>
                <w:bCs/>
                <w:sz w:val="24"/>
                <w:szCs w:val="24"/>
                <w:lang w:val="en-GB"/>
              </w:rPr>
              <w:t>15.</w:t>
            </w:r>
          </w:p>
        </w:tc>
        <w:tc>
          <w:tcPr>
            <w:tcW w:w="198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rPr>
            </w:pPr>
            <w:r w:rsidRPr="000418B3">
              <w:rPr>
                <w:rFonts w:cs="Times New Roman"/>
                <w:bCs/>
                <w:sz w:val="24"/>
                <w:szCs w:val="24"/>
              </w:rPr>
              <w:t>Piezīmes</w:t>
            </w:r>
          </w:p>
        </w:tc>
        <w:tc>
          <w:tcPr>
            <w:tcW w:w="2835"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lang w:val="en-GB"/>
              </w:rPr>
            </w:pPr>
            <w:r w:rsidRPr="000418B3">
              <w:rPr>
                <w:rFonts w:eastAsia="Times New Roman" w:cs="Times New Roman"/>
                <w:sz w:val="24"/>
                <w:szCs w:val="24"/>
                <w:lang w:eastAsia="lv-LV"/>
              </w:rPr>
              <w:t>Definīcijas</w:t>
            </w:r>
          </w:p>
        </w:tc>
        <w:tc>
          <w:tcPr>
            <w:tcW w:w="3686" w:type="dxa"/>
            <w:tcBorders>
              <w:top w:val="single" w:sz="4" w:space="0" w:color="000000"/>
              <w:left w:val="single" w:sz="4" w:space="0" w:color="000000"/>
              <w:bottom w:val="single" w:sz="4" w:space="0" w:color="000000"/>
              <w:right w:val="single" w:sz="4" w:space="0" w:color="000000"/>
            </w:tcBorders>
          </w:tcPr>
          <w:p w:rsidR="0017283D" w:rsidRPr="000418B3" w:rsidRDefault="0017283D" w:rsidP="0043732C">
            <w:pPr>
              <w:spacing w:beforeLines="20" w:before="48" w:afterLines="20" w:after="48"/>
              <w:jc w:val="both"/>
              <w:rPr>
                <w:rFonts w:cs="Times New Roman"/>
                <w:sz w:val="24"/>
                <w:szCs w:val="24"/>
                <w:lang w:val="en-GB"/>
              </w:rPr>
            </w:pPr>
            <w:r w:rsidRPr="000418B3">
              <w:rPr>
                <w:rFonts w:eastAsia="Times New Roman" w:cs="Times New Roman"/>
                <w:sz w:val="24"/>
                <w:szCs w:val="24"/>
                <w:lang w:eastAsia="lv-LV"/>
              </w:rPr>
              <w:t>Atbilstoši Lēmuma (ES) 2019/235 pielikuma A daļai</w:t>
            </w:r>
          </w:p>
        </w:tc>
      </w:tr>
    </w:tbl>
    <w:p w:rsidR="0017283D" w:rsidRPr="000418B3" w:rsidRDefault="000418B3" w:rsidP="00222204">
      <w:pPr>
        <w:spacing w:after="0" w:line="60" w:lineRule="atLeast"/>
        <w:jc w:val="both"/>
        <w:rPr>
          <w:rFonts w:eastAsia="Times New Roman" w:cs="Times New Roman"/>
          <w:color w:val="414142"/>
          <w:sz w:val="24"/>
          <w:szCs w:val="24"/>
          <w:lang w:eastAsia="lv-LV"/>
        </w:rPr>
      </w:pPr>
      <w:r w:rsidRPr="000418B3">
        <w:rPr>
          <w:rFonts w:eastAsia="Times New Roman" w:cs="Times New Roman"/>
          <w:color w:val="414142"/>
          <w:sz w:val="24"/>
          <w:szCs w:val="24"/>
          <w:lang w:eastAsia="lv-LV"/>
        </w:rPr>
        <w:lastRenderedPageBreak/>
        <w:t>”.</w:t>
      </w:r>
    </w:p>
    <w:p w:rsidR="000418B3" w:rsidRDefault="000418B3" w:rsidP="0043732C">
      <w:pPr>
        <w:jc w:val="both"/>
        <w:rPr>
          <w:rFonts w:cs="Times New Roman"/>
          <w:bCs/>
          <w:szCs w:val="28"/>
        </w:rPr>
      </w:pPr>
    </w:p>
    <w:p w:rsidR="007B001B" w:rsidRPr="007C04F6" w:rsidRDefault="007B001B" w:rsidP="0043732C">
      <w:pPr>
        <w:pStyle w:val="ListParagraph"/>
        <w:numPr>
          <w:ilvl w:val="0"/>
          <w:numId w:val="2"/>
        </w:numPr>
        <w:jc w:val="both"/>
        <w:rPr>
          <w:rFonts w:cs="Times New Roman"/>
          <w:bCs/>
          <w:szCs w:val="28"/>
        </w:rPr>
      </w:pPr>
      <w:r w:rsidRPr="007C04F6">
        <w:rPr>
          <w:rFonts w:cs="Times New Roman"/>
          <w:bCs/>
          <w:szCs w:val="28"/>
        </w:rPr>
        <w:t>Izteikt 2. pielikuma 48. punktu šādā redakcijā:</w:t>
      </w:r>
    </w:p>
    <w:p w:rsidR="007B001B" w:rsidRPr="007C421C" w:rsidRDefault="007B001B" w:rsidP="0043732C">
      <w:pPr>
        <w:shd w:val="clear" w:color="auto" w:fill="FFFFFF"/>
        <w:spacing w:before="100" w:beforeAutospacing="1" w:after="100" w:afterAutospacing="1" w:line="293" w:lineRule="atLeast"/>
        <w:ind w:firstLine="300"/>
        <w:jc w:val="both"/>
        <w:rPr>
          <w:rFonts w:cs="Times New Roman"/>
          <w:sz w:val="24"/>
          <w:szCs w:val="24"/>
        </w:rPr>
      </w:pPr>
      <w:r w:rsidRPr="007C421C">
        <w:rPr>
          <w:rFonts w:cs="Times New Roman"/>
          <w:sz w:val="24"/>
          <w:szCs w:val="24"/>
        </w:rPr>
        <w:t>“</w:t>
      </w:r>
      <w:r w:rsidRPr="007C421C">
        <w:rPr>
          <w:rFonts w:cs="Times New Roman"/>
          <w:b/>
          <w:sz w:val="24"/>
          <w:szCs w:val="24"/>
        </w:rPr>
        <w:t>48. Radiosaskarne RS PMSE.01</w:t>
      </w:r>
    </w:p>
    <w:tbl>
      <w:tblPr>
        <w:tblW w:w="5296"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80"/>
        <w:gridCol w:w="2414"/>
        <w:gridCol w:w="540"/>
        <w:gridCol w:w="1073"/>
        <w:gridCol w:w="1260"/>
        <w:gridCol w:w="3247"/>
      </w:tblGrid>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Nr. p. k.</w:t>
            </w:r>
          </w:p>
        </w:tc>
        <w:tc>
          <w:tcPr>
            <w:tcW w:w="1262"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Parametri</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Apraksts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Komentāri/papildu nosacījumi</w:t>
            </w:r>
          </w:p>
        </w:tc>
      </w:tr>
      <w:tr w:rsidR="007B001B" w:rsidRPr="007B001B" w:rsidTr="00F25DD1">
        <w:tc>
          <w:tcPr>
            <w:tcW w:w="5000" w:type="pct"/>
            <w:gridSpan w:val="6"/>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Normatīvā daļa</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Radiosakaru dienests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Sauszemes mobilais, sekundārais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2.</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Radiosakaru sistēmas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Maza darbības attāluma ierīces, programmu gatavošanas un īpašo pasākumu ierīces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Radiomikrofoni vai auss monitora sistēmas</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3.</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Radiofrekvenču josla</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661636" w:rsidRDefault="007B001B" w:rsidP="0043732C">
            <w:pPr>
              <w:spacing w:after="0" w:line="240" w:lineRule="auto"/>
              <w:jc w:val="both"/>
              <w:rPr>
                <w:rFonts w:cs="Times New Roman"/>
                <w:bCs/>
                <w:sz w:val="24"/>
                <w:szCs w:val="24"/>
              </w:rPr>
            </w:pPr>
            <w:r w:rsidRPr="00661636">
              <w:rPr>
                <w:rFonts w:cs="Times New Roman"/>
                <w:bCs/>
                <w:sz w:val="24"/>
                <w:szCs w:val="24"/>
              </w:rPr>
              <w:t>174–216 MHz</w:t>
            </w:r>
          </w:p>
          <w:p w:rsidR="007B001B" w:rsidRPr="00661636" w:rsidRDefault="007B001B" w:rsidP="0043732C">
            <w:pPr>
              <w:spacing w:before="100" w:beforeAutospacing="1" w:after="100" w:afterAutospacing="1" w:line="293" w:lineRule="atLeast"/>
              <w:jc w:val="both"/>
              <w:rPr>
                <w:rFonts w:cs="Times New Roman"/>
                <w:bCs/>
                <w:sz w:val="24"/>
                <w:szCs w:val="24"/>
              </w:rPr>
            </w:pPr>
            <w:r w:rsidRPr="00661636">
              <w:rPr>
                <w:rFonts w:cs="Times New Roman"/>
                <w:bCs/>
                <w:sz w:val="24"/>
                <w:szCs w:val="24"/>
              </w:rPr>
              <w:t>470–694 MHz</w:t>
            </w:r>
          </w:p>
          <w:p w:rsidR="007B001B" w:rsidRPr="00661636" w:rsidRDefault="007B001B" w:rsidP="0043732C">
            <w:pPr>
              <w:spacing w:before="100" w:beforeAutospacing="1" w:after="100" w:afterAutospacing="1" w:line="293" w:lineRule="atLeast"/>
              <w:jc w:val="both"/>
              <w:rPr>
                <w:rFonts w:cs="Times New Roman"/>
                <w:bCs/>
                <w:sz w:val="24"/>
                <w:szCs w:val="24"/>
              </w:rPr>
            </w:pPr>
            <w:r w:rsidRPr="00661636">
              <w:rPr>
                <w:rFonts w:cs="Times New Roman"/>
                <w:bCs/>
                <w:sz w:val="24"/>
                <w:szCs w:val="24"/>
              </w:rPr>
              <w:t>694–789 MHz</w:t>
            </w:r>
          </w:p>
          <w:p w:rsidR="007B001B" w:rsidRPr="00661636" w:rsidRDefault="007B001B" w:rsidP="0043732C">
            <w:pPr>
              <w:spacing w:before="100" w:beforeAutospacing="1" w:after="100" w:afterAutospacing="1" w:line="293" w:lineRule="atLeast"/>
              <w:jc w:val="both"/>
              <w:rPr>
                <w:rFonts w:cs="Times New Roman"/>
                <w:bCs/>
                <w:sz w:val="24"/>
                <w:szCs w:val="24"/>
              </w:rPr>
            </w:pPr>
            <w:r w:rsidRPr="00661636">
              <w:rPr>
                <w:rFonts w:cs="Times New Roman"/>
                <w:bCs/>
                <w:sz w:val="24"/>
                <w:szCs w:val="24"/>
              </w:rPr>
              <w:t>823–832 MHz</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661636" w:rsidRDefault="007B001B" w:rsidP="0043732C">
            <w:pPr>
              <w:spacing w:before="100" w:beforeAutospacing="1" w:after="100" w:afterAutospacing="1" w:line="293" w:lineRule="atLeast"/>
              <w:jc w:val="both"/>
              <w:rPr>
                <w:rFonts w:cs="Times New Roman"/>
                <w:bCs/>
                <w:sz w:val="24"/>
                <w:szCs w:val="24"/>
              </w:rPr>
            </w:pPr>
            <w:r w:rsidRPr="00661636">
              <w:rPr>
                <w:rFonts w:cs="Times New Roman"/>
                <w:bCs/>
                <w:sz w:val="24"/>
                <w:szCs w:val="24"/>
              </w:rPr>
              <w:t>Atbilstoši radiosaskarnes 7. punkta tabulai</w:t>
            </w:r>
          </w:p>
          <w:p w:rsidR="007B001B" w:rsidRPr="00661636" w:rsidRDefault="007B001B" w:rsidP="0043732C">
            <w:pPr>
              <w:spacing w:before="100" w:beforeAutospacing="1" w:after="100" w:afterAutospacing="1" w:line="293" w:lineRule="atLeast"/>
              <w:jc w:val="both"/>
              <w:rPr>
                <w:rFonts w:cs="Times New Roman"/>
                <w:bCs/>
                <w:sz w:val="24"/>
                <w:szCs w:val="24"/>
              </w:rPr>
            </w:pPr>
            <w:r w:rsidRPr="00661636">
              <w:rPr>
                <w:rFonts w:cs="Times New Roman"/>
                <w:sz w:val="24"/>
                <w:szCs w:val="24"/>
              </w:rPr>
              <w:t>Noslēguma jautājumi, 53. punkts</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4.</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Radiokanālu plānojums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5.</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Pārraidāmā signāla veids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6.</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Radiokanāla dupleksais atdalījums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F25DD1" w:rsidRPr="007B001B" w:rsidTr="00F25DD1">
        <w:tc>
          <w:tcPr>
            <w:tcW w:w="253"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7.</w:t>
            </w:r>
          </w:p>
        </w:tc>
        <w:tc>
          <w:tcPr>
            <w:tcW w:w="1262"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Raidītāja izejas (izstarotā) jauda</w:t>
            </w: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Josla</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Frekvenču josla (MHz)</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Raidītāja izejas (izstarotās) jaudas robežvērtība</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e</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174–216</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50 mW e.r.p.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f1</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470–694</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50 mW e.r.p.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vertAlign w:val="superscript"/>
              </w:rPr>
            </w:pPr>
            <w:r w:rsidRPr="007B001B">
              <w:rPr>
                <w:rFonts w:cs="Times New Roman"/>
                <w:bCs/>
                <w:sz w:val="24"/>
                <w:szCs w:val="24"/>
              </w:rPr>
              <w:t>f1</w:t>
            </w:r>
            <w:r w:rsidRPr="007B001B">
              <w:rPr>
                <w:rFonts w:cs="Times New Roman"/>
                <w:bCs/>
                <w:sz w:val="24"/>
                <w:szCs w:val="24"/>
                <w:vertAlign w:val="superscript"/>
              </w:rPr>
              <w:t>1</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694–786</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50 mW e.r.p.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sz w:val="24"/>
                <w:szCs w:val="24"/>
              </w:rPr>
              <w:t>Noslēguma jautājumi, 53. punkts</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f2</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786–789</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12 mW e.r.p.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sz w:val="24"/>
                <w:szCs w:val="24"/>
              </w:rPr>
              <w:t>Noslēguma jautājumi, 53. punkts</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f3</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823–826</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20 mW e.i.r.p.</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lastRenderedPageBreak/>
              <w:t> </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t>100 mW e.i.r.p.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lastRenderedPageBreak/>
              <w:t xml:space="preserve">Bloka malas maskas apgabala nosacījumi atbilstoši Komisijas 2014. gada 1. septembra Lēmuma 2014/641/ES par </w:t>
            </w:r>
            <w:r w:rsidRPr="007B001B">
              <w:rPr>
                <w:rFonts w:cs="Times New Roman"/>
                <w:bCs/>
                <w:sz w:val="24"/>
                <w:szCs w:val="24"/>
              </w:rPr>
              <w:lastRenderedPageBreak/>
              <w:t>harmonizētajiem tehniskajiem nosacījumiem radiofrekvenču spektra izmantošanai programmu gatavošanas un īpašo pasākumu bezvadu skaņas iekārtās Savienībā (turpmāk – Lēmums 2014/641/ES) pielikuma 1. tabulai.</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t>100 mW e.i.r.p. jauda atļauta tikai uz ķermeņa nēsājamām ierīcēm</w:t>
            </w:r>
          </w:p>
        </w:tc>
      </w:tr>
      <w:tr w:rsidR="00F25DD1" w:rsidRPr="007B001B" w:rsidTr="00F25DD1">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jc w:val="both"/>
              <w:rPr>
                <w:rFonts w:cs="Times New Roman"/>
                <w:bCs/>
                <w:sz w:val="24"/>
                <w:szCs w:val="24"/>
              </w:rPr>
            </w:pPr>
          </w:p>
        </w:tc>
        <w:tc>
          <w:tcPr>
            <w:tcW w:w="28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f4</w:t>
            </w:r>
          </w:p>
        </w:tc>
        <w:tc>
          <w:tcPr>
            <w:tcW w:w="56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826–832</w:t>
            </w:r>
          </w:p>
        </w:tc>
        <w:tc>
          <w:tcPr>
            <w:tcW w:w="66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100 mW e.i.r.p.</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Bloka malas maskas apgabala nosacījumi atbilstoši Lēmuma 2014/641/ES pielikuma 1. tabulai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8.</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Radiokanālu izmantošanas nosacījumi</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noteikti</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9.</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Radiofrekvences piešķīruma noteikšanas veids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Individuāls radiofrekvences piešķīrums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10.</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Būtiskas papildu prasības saskaņā ar Direktīvas 1999/5/EK 3. panta 3. punktu</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11.</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Radiofrekvenču plānošanas nosacījumi</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ERC/REC 70-03</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t>Lēmums 2014/641/ES</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t>ERC/REC 25-10</w:t>
            </w:r>
          </w:p>
          <w:p w:rsidR="007B001B" w:rsidRPr="007B001B" w:rsidRDefault="007B001B" w:rsidP="0043732C">
            <w:pPr>
              <w:spacing w:before="100" w:beforeAutospacing="1" w:after="100" w:afterAutospacing="1" w:line="293" w:lineRule="atLeast"/>
              <w:jc w:val="both"/>
              <w:rPr>
                <w:rFonts w:cs="Times New Roman"/>
                <w:bCs/>
                <w:sz w:val="24"/>
                <w:szCs w:val="24"/>
              </w:rPr>
            </w:pPr>
            <w:r w:rsidRPr="007B001B">
              <w:rPr>
                <w:rFonts w:cs="Times New Roman"/>
                <w:bCs/>
                <w:sz w:val="24"/>
                <w:szCs w:val="24"/>
              </w:rPr>
              <w:t>ECC/DEC/(09)03</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Nav definēti</w:t>
            </w:r>
          </w:p>
        </w:tc>
      </w:tr>
      <w:tr w:rsidR="007B001B" w:rsidRPr="007B001B" w:rsidTr="00F25DD1">
        <w:tc>
          <w:tcPr>
            <w:tcW w:w="5000" w:type="pct"/>
            <w:gridSpan w:val="6"/>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Informatīvā daļa</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12.</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Paredzētie grozījumi</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6A18BD" w:rsidP="0043732C">
            <w:pPr>
              <w:spacing w:after="0" w:line="240" w:lineRule="auto"/>
              <w:jc w:val="both"/>
              <w:rPr>
                <w:rFonts w:cs="Times New Roman"/>
                <w:bCs/>
                <w:sz w:val="24"/>
                <w:szCs w:val="24"/>
              </w:rPr>
            </w:pPr>
            <w:r>
              <w:rPr>
                <w:rFonts w:cs="Times New Roman"/>
                <w:bCs/>
                <w:sz w:val="24"/>
                <w:szCs w:val="24"/>
              </w:rPr>
              <w:t xml:space="preserve"> </w:t>
            </w:r>
            <w:r w:rsidR="007B001B"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r w:rsidR="006A18BD" w:rsidRPr="007B001B">
              <w:rPr>
                <w:rFonts w:cs="Times New Roman"/>
                <w:bCs/>
                <w:sz w:val="24"/>
                <w:szCs w:val="24"/>
              </w:rPr>
              <w:t>Nav noteikts</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13.</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Atsauce</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r w:rsidR="006A18BD">
              <w:rPr>
                <w:rFonts w:cs="Times New Roman"/>
                <w:bCs/>
                <w:sz w:val="24"/>
                <w:szCs w:val="24"/>
              </w:rPr>
              <w:t>Nav noteikta</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r w:rsidR="006A18BD" w:rsidRPr="007B001B">
              <w:rPr>
                <w:rFonts w:cs="Times New Roman"/>
                <w:bCs/>
                <w:sz w:val="24"/>
                <w:szCs w:val="24"/>
              </w:rPr>
              <w:t>Nav noteikt</w:t>
            </w:r>
            <w:r w:rsidR="006A18BD">
              <w:rPr>
                <w:rFonts w:cs="Times New Roman"/>
                <w:bCs/>
                <w:sz w:val="24"/>
                <w:szCs w:val="24"/>
              </w:rPr>
              <w:t>a</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14.</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Paziņojuma numurs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r w:rsidR="006A18BD" w:rsidRPr="007B001B">
              <w:rPr>
                <w:rFonts w:cs="Times New Roman"/>
                <w:bCs/>
                <w:sz w:val="24"/>
                <w:szCs w:val="24"/>
              </w:rPr>
              <w:t>Nav noteikts</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r w:rsidR="006A18BD" w:rsidRPr="007B001B">
              <w:rPr>
                <w:rFonts w:cs="Times New Roman"/>
                <w:bCs/>
                <w:sz w:val="24"/>
                <w:szCs w:val="24"/>
              </w:rPr>
              <w:t>Nav noteikts</w:t>
            </w:r>
          </w:p>
        </w:tc>
      </w:tr>
      <w:tr w:rsidR="007B001B" w:rsidRPr="007B001B" w:rsidTr="00F25DD1">
        <w:tc>
          <w:tcPr>
            <w:tcW w:w="253"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15.</w:t>
            </w:r>
          </w:p>
        </w:tc>
        <w:tc>
          <w:tcPr>
            <w:tcW w:w="1262"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Piezīmes</w:t>
            </w:r>
          </w:p>
        </w:tc>
        <w:tc>
          <w:tcPr>
            <w:tcW w:w="1508"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p>
        </w:tc>
        <w:tc>
          <w:tcPr>
            <w:tcW w:w="1976" w:type="pct"/>
            <w:tcBorders>
              <w:top w:val="outset" w:sz="6" w:space="0" w:color="414142"/>
              <w:left w:val="outset" w:sz="6" w:space="0" w:color="414142"/>
              <w:bottom w:val="outset" w:sz="6" w:space="0" w:color="414142"/>
              <w:right w:val="outset" w:sz="6" w:space="0" w:color="414142"/>
            </w:tcBorders>
            <w:shd w:val="clear" w:color="auto" w:fill="FFFFFF"/>
            <w:hideMark/>
          </w:tcPr>
          <w:p w:rsidR="007B001B" w:rsidRPr="007B001B" w:rsidRDefault="007B001B" w:rsidP="0043732C">
            <w:pPr>
              <w:spacing w:after="0" w:line="240" w:lineRule="auto"/>
              <w:jc w:val="both"/>
              <w:rPr>
                <w:rFonts w:cs="Times New Roman"/>
                <w:bCs/>
                <w:sz w:val="24"/>
                <w:szCs w:val="24"/>
              </w:rPr>
            </w:pPr>
            <w:r w:rsidRPr="007B001B">
              <w:rPr>
                <w:rFonts w:cs="Times New Roman"/>
                <w:bCs/>
                <w:sz w:val="24"/>
                <w:szCs w:val="24"/>
              </w:rPr>
              <w:t> </w:t>
            </w:r>
          </w:p>
        </w:tc>
      </w:tr>
    </w:tbl>
    <w:p w:rsidR="007B001B" w:rsidRPr="007B001B" w:rsidRDefault="007B001B" w:rsidP="0043732C">
      <w:pPr>
        <w:spacing w:after="0" w:line="240" w:lineRule="auto"/>
        <w:jc w:val="both"/>
        <w:rPr>
          <w:rFonts w:cs="Times New Roman"/>
          <w:sz w:val="24"/>
          <w:szCs w:val="24"/>
        </w:rPr>
      </w:pPr>
      <w:r w:rsidRPr="007B001B">
        <w:rPr>
          <w:rFonts w:cs="Times New Roman"/>
          <w:sz w:val="24"/>
          <w:szCs w:val="24"/>
        </w:rPr>
        <w:t>.”</w:t>
      </w:r>
    </w:p>
    <w:p w:rsidR="007B001B" w:rsidRPr="007B001B" w:rsidRDefault="007B001B" w:rsidP="0043732C">
      <w:pPr>
        <w:spacing w:after="0" w:line="240" w:lineRule="auto"/>
        <w:jc w:val="both"/>
        <w:rPr>
          <w:rFonts w:cs="Times New Roman"/>
          <w:sz w:val="24"/>
          <w:szCs w:val="24"/>
        </w:rPr>
      </w:pPr>
    </w:p>
    <w:p w:rsidR="007B001B" w:rsidRDefault="007B001B" w:rsidP="0043732C">
      <w:pPr>
        <w:spacing w:after="0" w:line="240" w:lineRule="auto"/>
        <w:jc w:val="both"/>
        <w:rPr>
          <w:rFonts w:cs="Times New Roman"/>
          <w:sz w:val="24"/>
          <w:szCs w:val="24"/>
        </w:rPr>
      </w:pPr>
    </w:p>
    <w:p w:rsidR="005F4F9A" w:rsidRPr="007C04F6" w:rsidRDefault="005F4F9A" w:rsidP="0043732C">
      <w:pPr>
        <w:pStyle w:val="ListParagraph"/>
        <w:numPr>
          <w:ilvl w:val="0"/>
          <w:numId w:val="2"/>
        </w:numPr>
        <w:spacing w:after="0" w:line="240" w:lineRule="auto"/>
        <w:jc w:val="both"/>
        <w:rPr>
          <w:rFonts w:cs="Times New Roman"/>
          <w:szCs w:val="28"/>
        </w:rPr>
      </w:pPr>
      <w:r w:rsidRPr="007C04F6">
        <w:rPr>
          <w:rFonts w:cs="Times New Roman"/>
          <w:szCs w:val="28"/>
        </w:rPr>
        <w:t>Papildināt 2. pielikumu ar 55. punktu šādā redakcijā:</w:t>
      </w:r>
    </w:p>
    <w:p w:rsidR="005F4F9A" w:rsidRDefault="005F4F9A" w:rsidP="0043732C">
      <w:pPr>
        <w:spacing w:after="0" w:line="240" w:lineRule="auto"/>
        <w:jc w:val="both"/>
        <w:rPr>
          <w:rFonts w:ascii="Franklin Gothic Book" w:hAnsi="Franklin Gothic Book"/>
          <w:sz w:val="18"/>
          <w:szCs w:val="18"/>
        </w:rPr>
      </w:pPr>
    </w:p>
    <w:p w:rsidR="005F4F9A" w:rsidRPr="005F4F9A" w:rsidRDefault="005F4F9A" w:rsidP="0043732C">
      <w:pPr>
        <w:spacing w:after="0" w:line="240" w:lineRule="auto"/>
        <w:jc w:val="both"/>
        <w:rPr>
          <w:rFonts w:cs="Times New Roman"/>
          <w:sz w:val="24"/>
          <w:szCs w:val="24"/>
        </w:rPr>
      </w:pPr>
      <w:r w:rsidRPr="005F4F9A">
        <w:rPr>
          <w:rFonts w:cs="Times New Roman"/>
          <w:sz w:val="24"/>
          <w:szCs w:val="24"/>
        </w:rPr>
        <w:t>“</w:t>
      </w:r>
      <w:r w:rsidRPr="005F4F9A">
        <w:rPr>
          <w:rFonts w:cs="Times New Roman"/>
          <w:b/>
          <w:sz w:val="24"/>
          <w:szCs w:val="24"/>
        </w:rPr>
        <w:t>55. Radiosaskarne RS LM.700</w:t>
      </w:r>
    </w:p>
    <w:p w:rsidR="005F4F9A" w:rsidRPr="005F4F9A" w:rsidRDefault="005F4F9A" w:rsidP="0043732C">
      <w:pPr>
        <w:spacing w:after="0" w:line="240" w:lineRule="auto"/>
        <w:jc w:val="both"/>
        <w:rPr>
          <w:rFonts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127"/>
        <w:gridCol w:w="3118"/>
        <w:gridCol w:w="3260"/>
      </w:tblGrid>
      <w:tr w:rsidR="005F4F9A" w:rsidRPr="005F4F9A" w:rsidTr="009C4262">
        <w:trPr>
          <w:trHeight w:val="24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lastRenderedPageBreak/>
              <w:t>Nr.p.k.</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Parametrs</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Apraksts</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Komentāri</w:t>
            </w:r>
          </w:p>
        </w:tc>
      </w:tr>
      <w:tr w:rsidR="005F4F9A" w:rsidRPr="005F4F9A" w:rsidTr="009C4262">
        <w:trPr>
          <w:trHeight w:val="240"/>
        </w:trPr>
        <w:tc>
          <w:tcPr>
            <w:tcW w:w="9072" w:type="dxa"/>
            <w:gridSpan w:val="4"/>
            <w:tcBorders>
              <w:top w:val="single" w:sz="4" w:space="0" w:color="000000"/>
              <w:left w:val="single" w:sz="4" w:space="0" w:color="000000"/>
              <w:bottom w:val="single" w:sz="4" w:space="0" w:color="000000"/>
              <w:right w:val="single" w:sz="4" w:space="0" w:color="000000"/>
            </w:tcBorders>
            <w:vAlign w:val="center"/>
            <w:hideMark/>
          </w:tcPr>
          <w:p w:rsidR="005F4F9A" w:rsidRPr="005F4F9A" w:rsidRDefault="005F4F9A" w:rsidP="0043732C">
            <w:pPr>
              <w:spacing w:after="0" w:line="240" w:lineRule="auto"/>
              <w:jc w:val="both"/>
              <w:rPr>
                <w:rFonts w:cs="Times New Roman"/>
                <w:bCs/>
                <w:sz w:val="24"/>
                <w:szCs w:val="24"/>
              </w:rPr>
            </w:pPr>
            <w:r w:rsidRPr="005F4F9A">
              <w:rPr>
                <w:rFonts w:cs="Times New Roman"/>
                <w:bCs/>
                <w:sz w:val="24"/>
                <w:szCs w:val="24"/>
              </w:rPr>
              <w:t>Normatīvā daļa</w:t>
            </w:r>
          </w:p>
        </w:tc>
      </w:tr>
      <w:tr w:rsidR="005F4F9A" w:rsidRPr="005F4F9A" w:rsidTr="009C4262">
        <w:trPr>
          <w:trHeight w:val="560"/>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Radiosakaru dienests</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Sauszemes mobilais</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t>Nav definēti</w:t>
            </w:r>
          </w:p>
        </w:tc>
      </w:tr>
      <w:tr w:rsidR="005F4F9A" w:rsidRPr="005F4F9A" w:rsidTr="009C4262">
        <w:trPr>
          <w:trHeight w:val="288"/>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2.</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sz w:val="24"/>
                <w:szCs w:val="24"/>
              </w:rPr>
              <w:t>Radiosakaru sistēma</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222204">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Zemes sistēmas, kas Savienībā spēj sniegt bezvadu platjoslas elektronisko sakaru pakalpojumus/IMT</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Bezvadu piekļuve, platjoslas elektronisko sakaru pakalpojumi</w:t>
            </w:r>
          </w:p>
        </w:tc>
      </w:tr>
      <w:tr w:rsidR="005F4F9A" w:rsidRPr="005F4F9A" w:rsidTr="009C4262">
        <w:trPr>
          <w:trHeight w:val="235"/>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3.</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Frekvenču josla</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 xml:space="preserve">703-733 MHz/758-788 MHz </w:t>
            </w:r>
          </w:p>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738-758 MHz</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sz w:val="24"/>
                <w:szCs w:val="24"/>
                <w:lang w:val="en-GB"/>
              </w:rPr>
              <w:t>Nav definēti</w:t>
            </w:r>
          </w:p>
        </w:tc>
      </w:tr>
      <w:tr w:rsidR="005F4F9A" w:rsidRPr="005F4F9A" w:rsidTr="009C4262">
        <w:trPr>
          <w:trHeight w:val="480"/>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4.</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Radiokanālu plānojums</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222204">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Frekvenčdales duplekss (FDD)</w:t>
            </w:r>
          </w:p>
          <w:p w:rsidR="005F4F9A" w:rsidRPr="005F4F9A" w:rsidRDefault="005F4F9A">
            <w:pPr>
              <w:spacing w:after="0" w:line="240" w:lineRule="auto"/>
              <w:jc w:val="both"/>
              <w:rPr>
                <w:rFonts w:cs="Times New Roman"/>
                <w:sz w:val="24"/>
                <w:szCs w:val="24"/>
                <w:lang w:val="fr-FR"/>
              </w:rPr>
            </w:pPr>
            <w:r w:rsidRPr="005F4F9A">
              <w:rPr>
                <w:rFonts w:eastAsia="Times New Roman" w:cs="Times New Roman"/>
                <w:sz w:val="24"/>
                <w:szCs w:val="24"/>
                <w:lang w:eastAsia="lv-LV"/>
              </w:rPr>
              <w:t>Bāzes stacijas papildu lejuplīnijas raidīšanas režīms (SDL)</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Atbilstoši Lēmuma (ES) 2016/687 pielikuma A daļai.</w:t>
            </w:r>
          </w:p>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Piešķirtajiem bloku lielumiem ir jābūt 5 MHz daudzkārtņiem</w:t>
            </w:r>
          </w:p>
        </w:tc>
      </w:tr>
      <w:tr w:rsidR="005F4F9A" w:rsidRPr="005F4F9A" w:rsidTr="009C4262">
        <w:trPr>
          <w:trHeight w:val="513"/>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5.</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bCs/>
                <w:sz w:val="24"/>
                <w:szCs w:val="24"/>
              </w:rPr>
              <w:t>Modulācija / aizņemtā frekvenču josla</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eastAsia="Times New Roman" w:cs="Times New Roman"/>
                <w:sz w:val="24"/>
                <w:szCs w:val="24"/>
                <w:lang w:eastAsia="lv-LV"/>
              </w:rPr>
              <w:t>Ciparu</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highlight w:val="yellow"/>
                <w:lang w:val="en-GB"/>
              </w:rPr>
            </w:pPr>
            <w:r w:rsidRPr="005F4F9A">
              <w:rPr>
                <w:rFonts w:cs="Times New Roman"/>
                <w:sz w:val="24"/>
                <w:szCs w:val="24"/>
                <w:lang w:val="en-GB"/>
              </w:rPr>
              <w:t>Nav definēti</w:t>
            </w:r>
          </w:p>
        </w:tc>
      </w:tr>
      <w:tr w:rsidR="005F4F9A" w:rsidRPr="005F4F9A" w:rsidTr="009C4262">
        <w:trPr>
          <w:trHeight w:val="543"/>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6.</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Dupleksais atdalījums</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eastAsia="Times New Roman" w:cs="Times New Roman"/>
                <w:sz w:val="24"/>
                <w:szCs w:val="24"/>
                <w:lang w:eastAsia="lv-LV"/>
              </w:rPr>
              <w:t>55 MHz</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t>Nav definēti</w:t>
            </w:r>
          </w:p>
        </w:tc>
      </w:tr>
      <w:tr w:rsidR="005F4F9A" w:rsidRPr="005F4F9A" w:rsidTr="009C4262">
        <w:trPr>
          <w:trHeight w:val="580"/>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7.</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bCs/>
                <w:sz w:val="24"/>
                <w:szCs w:val="24"/>
              </w:rPr>
              <w:t>Raidītāja izejas (izstarotā) jauda</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highlight w:val="yellow"/>
                <w:lang w:val="en-US"/>
              </w:rPr>
            </w:pPr>
            <w:r w:rsidRPr="005F4F9A">
              <w:rPr>
                <w:rFonts w:eastAsia="Times New Roman" w:cs="Times New Roman"/>
                <w:sz w:val="24"/>
                <w:szCs w:val="24"/>
                <w:lang w:eastAsia="lv-LV"/>
              </w:rPr>
              <w:t>Tiek noteikta individuāli katram radiofrekvences piešķīrumam</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222204">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1. Bāzes stacijas jaudas robežvērtība bloka ietvaros – atbilstoši Lēmuma (ES) 2016/687 pielikuma B daļas 2.tabulai.</w:t>
            </w:r>
          </w:p>
          <w:p w:rsidR="005F4F9A" w:rsidRPr="005F4F9A" w:rsidRDefault="005F4F9A">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2. Bāzes stacijas ārpus bloka BEM jaudas robežvērtības – atbilstoši Lēmuma (ES) 2016/687 pielikuma B daļas 3.- 8. tabulai.</w:t>
            </w:r>
          </w:p>
          <w:p w:rsidR="005F4F9A" w:rsidRPr="005F4F9A" w:rsidRDefault="005F4F9A">
            <w:pPr>
              <w:spacing w:after="0" w:line="240" w:lineRule="auto"/>
              <w:jc w:val="both"/>
              <w:rPr>
                <w:rFonts w:eastAsia="Times New Roman" w:cs="Times New Roman"/>
                <w:sz w:val="24"/>
                <w:szCs w:val="24"/>
                <w:highlight w:val="yellow"/>
                <w:lang w:eastAsia="lv-LV"/>
              </w:rPr>
            </w:pPr>
            <w:r w:rsidRPr="005F4F9A">
              <w:rPr>
                <w:rFonts w:eastAsia="Times New Roman" w:cs="Times New Roman"/>
                <w:sz w:val="24"/>
                <w:szCs w:val="24"/>
                <w:lang w:eastAsia="lv-LV"/>
              </w:rPr>
              <w:t>3. Tehniskie nosacījumi galiekārtām – atbilstoši Lēmuma (ES) 2016/687 pielikuma C daļai</w:t>
            </w:r>
          </w:p>
        </w:tc>
      </w:tr>
      <w:tr w:rsidR="005F4F9A" w:rsidRPr="005F4F9A" w:rsidTr="009C4262">
        <w:trPr>
          <w:trHeight w:val="548"/>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highlight w:val="yellow"/>
                <w:lang w:val="en-GB"/>
              </w:rPr>
            </w:pPr>
            <w:r w:rsidRPr="005F4F9A">
              <w:rPr>
                <w:rFonts w:cs="Times New Roman"/>
                <w:bCs/>
                <w:sz w:val="24"/>
                <w:szCs w:val="24"/>
                <w:lang w:val="en-GB"/>
              </w:rPr>
              <w:t>8.</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highlight w:val="yellow"/>
              </w:rPr>
            </w:pPr>
            <w:r w:rsidRPr="005F4F9A">
              <w:rPr>
                <w:rFonts w:cs="Times New Roman"/>
                <w:bCs/>
                <w:sz w:val="24"/>
                <w:szCs w:val="24"/>
              </w:rPr>
              <w:t>Radiokanāla lietošanas nosacījumi</w:t>
            </w:r>
          </w:p>
        </w:tc>
        <w:tc>
          <w:tcPr>
            <w:tcW w:w="3118" w:type="dxa"/>
            <w:tcBorders>
              <w:top w:val="single" w:sz="4" w:space="0" w:color="000000"/>
              <w:left w:val="single" w:sz="4" w:space="0" w:color="000000"/>
              <w:bottom w:val="single" w:sz="4" w:space="0" w:color="000000"/>
              <w:right w:val="single" w:sz="4" w:space="0" w:color="000000"/>
            </w:tcBorders>
          </w:tcPr>
          <w:p w:rsidR="005F4F9A" w:rsidRPr="005F4F9A" w:rsidRDefault="005F4F9A" w:rsidP="00222204">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Atbilstoši Lēmumam (ES) 2016/687</w:t>
            </w:r>
          </w:p>
          <w:p w:rsidR="005F4F9A" w:rsidRPr="005F4F9A" w:rsidRDefault="005F4F9A">
            <w:pPr>
              <w:spacing w:after="0" w:line="240" w:lineRule="auto"/>
              <w:contextualSpacing/>
              <w:jc w:val="both"/>
              <w:rPr>
                <w:rFonts w:eastAsia="Times New Roman" w:cs="Times New Roman"/>
                <w:sz w:val="24"/>
                <w:szCs w:val="24"/>
                <w:lang w:eastAsia="lv-LV"/>
              </w:rPr>
            </w:pPr>
          </w:p>
          <w:p w:rsidR="005F4F9A" w:rsidRPr="005F4F9A" w:rsidRDefault="005F4F9A">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 xml:space="preserve">Raidīšanas frekvences: </w:t>
            </w:r>
          </w:p>
          <w:p w:rsidR="005F4F9A" w:rsidRPr="005F4F9A" w:rsidRDefault="005F4F9A">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 xml:space="preserve">ML: 703-733 MHz </w:t>
            </w:r>
          </w:p>
          <w:p w:rsidR="005F4F9A" w:rsidRPr="005F4F9A" w:rsidRDefault="005F4F9A">
            <w:pPr>
              <w:spacing w:after="0" w:line="240" w:lineRule="auto"/>
              <w:contextualSpacing/>
              <w:jc w:val="both"/>
              <w:rPr>
                <w:rFonts w:eastAsia="Times New Roman" w:cs="Times New Roman"/>
                <w:sz w:val="24"/>
                <w:szCs w:val="24"/>
                <w:highlight w:val="yellow"/>
                <w:lang w:eastAsia="lv-LV"/>
              </w:rPr>
            </w:pPr>
            <w:r w:rsidRPr="005F4F9A">
              <w:rPr>
                <w:rFonts w:eastAsia="Times New Roman" w:cs="Times New Roman"/>
                <w:sz w:val="24"/>
                <w:szCs w:val="24"/>
                <w:lang w:eastAsia="lv-LV"/>
              </w:rPr>
              <w:t>FB: 758-788 MHz</w:t>
            </w:r>
          </w:p>
          <w:p w:rsidR="005F4F9A" w:rsidRPr="005F4F9A" w:rsidRDefault="005F4F9A">
            <w:pPr>
              <w:spacing w:after="0" w:line="240" w:lineRule="auto"/>
              <w:contextualSpacing/>
              <w:jc w:val="both"/>
              <w:rPr>
                <w:rFonts w:cs="Times New Roman"/>
                <w:sz w:val="24"/>
                <w:szCs w:val="24"/>
                <w:highlight w:val="yellow"/>
              </w:rPr>
            </w:pPr>
            <w:r w:rsidRPr="005F4F9A">
              <w:rPr>
                <w:rFonts w:eastAsia="Times New Roman" w:cs="Times New Roman"/>
                <w:sz w:val="24"/>
                <w:szCs w:val="24"/>
                <w:lang w:eastAsia="lv-LV"/>
              </w:rPr>
              <w:t>FB (SDL): 738-758 MHz</w:t>
            </w:r>
          </w:p>
        </w:tc>
        <w:tc>
          <w:tcPr>
            <w:tcW w:w="3260" w:type="dxa"/>
            <w:tcBorders>
              <w:top w:val="single" w:sz="4" w:space="0" w:color="000000"/>
              <w:left w:val="single" w:sz="4" w:space="0" w:color="000000"/>
              <w:bottom w:val="single" w:sz="4" w:space="0" w:color="000000"/>
              <w:right w:val="single" w:sz="4" w:space="0" w:color="000000"/>
            </w:tcBorders>
          </w:tcPr>
          <w:p w:rsidR="005F4F9A" w:rsidRPr="005F4F9A" w:rsidRDefault="005F4F9A" w:rsidP="0043732C">
            <w:pPr>
              <w:spacing w:after="0" w:line="240" w:lineRule="auto"/>
              <w:jc w:val="both"/>
              <w:rPr>
                <w:rFonts w:eastAsia="Times New Roman" w:cs="Times New Roman"/>
                <w:sz w:val="24"/>
                <w:szCs w:val="24"/>
                <w:lang w:eastAsia="lv-LV"/>
              </w:rPr>
            </w:pPr>
            <w:r w:rsidRPr="005F4F9A">
              <w:rPr>
                <w:rFonts w:eastAsia="Times New Roman" w:cs="Times New Roman"/>
                <w:sz w:val="24"/>
                <w:szCs w:val="24"/>
                <w:lang w:eastAsia="lv-LV"/>
              </w:rPr>
              <w:t>Bāzes stacijas retranslators raida un uztver gan ML, gan FB radiofrekvencēs, un uztver un raida FB (SDL) radiofrekvencēs</w:t>
            </w:r>
          </w:p>
          <w:p w:rsidR="005F4F9A" w:rsidRPr="005F4F9A" w:rsidRDefault="005F4F9A" w:rsidP="0043732C">
            <w:pPr>
              <w:spacing w:after="0" w:line="240" w:lineRule="auto"/>
              <w:jc w:val="both"/>
              <w:rPr>
                <w:rFonts w:eastAsia="Times New Roman" w:cs="Times New Roman"/>
                <w:sz w:val="24"/>
                <w:szCs w:val="24"/>
                <w:lang w:eastAsia="lv-LV"/>
              </w:rPr>
            </w:pPr>
          </w:p>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Jānodrošina pietiekama blakusjoslu sistēmu aizsardzība</w:t>
            </w:r>
          </w:p>
        </w:tc>
      </w:tr>
      <w:tr w:rsidR="005F4F9A" w:rsidRPr="005F4F9A" w:rsidTr="009C4262">
        <w:trPr>
          <w:trHeight w:val="416"/>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9.</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bCs/>
                <w:sz w:val="24"/>
                <w:szCs w:val="24"/>
              </w:rPr>
              <w:t>Atļaujas izsniegšanas procedūra</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Individuāls radiofrekvences piešķīrums bāzes stacijai un bāzes stacijas retranslatoram</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iCs/>
                <w:sz w:val="24"/>
                <w:szCs w:val="24"/>
                <w:lang w:val="en-GB"/>
              </w:rPr>
            </w:pPr>
            <w:r w:rsidRPr="005F4F9A">
              <w:rPr>
                <w:rFonts w:cs="Times New Roman"/>
                <w:sz w:val="24"/>
                <w:szCs w:val="24"/>
                <w:lang w:val="en-GB"/>
              </w:rPr>
              <w:t>Nav definēti</w:t>
            </w:r>
          </w:p>
        </w:tc>
      </w:tr>
      <w:tr w:rsidR="005F4F9A" w:rsidRPr="005F4F9A" w:rsidTr="009C4262">
        <w:trPr>
          <w:trHeight w:val="372"/>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10.</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D25175">
            <w:pPr>
              <w:spacing w:after="0" w:line="240" w:lineRule="auto"/>
              <w:jc w:val="both"/>
              <w:rPr>
                <w:rFonts w:cs="Times New Roman"/>
                <w:sz w:val="24"/>
                <w:szCs w:val="24"/>
              </w:rPr>
            </w:pPr>
            <w:r w:rsidRPr="005F4F9A">
              <w:rPr>
                <w:rFonts w:cs="Times New Roman"/>
                <w:sz w:val="24"/>
                <w:szCs w:val="24"/>
              </w:rPr>
              <w:t xml:space="preserve">Papildu būtiskās prasības saskaņā ar Direktīvas </w:t>
            </w:r>
            <w:r w:rsidRPr="005F4F9A">
              <w:rPr>
                <w:rFonts w:cs="Times New Roman"/>
                <w:sz w:val="24"/>
                <w:szCs w:val="24"/>
              </w:rPr>
              <w:lastRenderedPageBreak/>
              <w:t>2014/53/ES 3.</w:t>
            </w:r>
            <w:r w:rsidR="00D25175">
              <w:rPr>
                <w:rFonts w:cs="Times New Roman"/>
                <w:sz w:val="24"/>
                <w:szCs w:val="24"/>
              </w:rPr>
              <w:t> panta 3. </w:t>
            </w:r>
            <w:r w:rsidRPr="005F4F9A">
              <w:rPr>
                <w:rFonts w:cs="Times New Roman"/>
                <w:sz w:val="24"/>
                <w:szCs w:val="24"/>
              </w:rPr>
              <w:t>punktu</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lastRenderedPageBreak/>
              <w:t>Nav noteiktas</w:t>
            </w:r>
            <w:r w:rsidRPr="005F4F9A">
              <w:rPr>
                <w:rFonts w:eastAsia="Times New Roman" w:cs="Times New Roman"/>
                <w:sz w:val="24"/>
                <w:szCs w:val="24"/>
                <w:lang w:val="en-GB" w:eastAsia="lv-LV"/>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ind w:right="742"/>
              <w:jc w:val="both"/>
              <w:rPr>
                <w:rFonts w:cs="Times New Roman"/>
                <w:sz w:val="24"/>
                <w:szCs w:val="24"/>
                <w:lang w:val="en-GB"/>
              </w:rPr>
            </w:pPr>
            <w:r w:rsidRPr="005F4F9A">
              <w:rPr>
                <w:rFonts w:cs="Times New Roman"/>
                <w:sz w:val="24"/>
                <w:szCs w:val="24"/>
                <w:lang w:val="en-GB"/>
              </w:rPr>
              <w:t>Nav definēti</w:t>
            </w:r>
          </w:p>
        </w:tc>
      </w:tr>
      <w:tr w:rsidR="005F4F9A" w:rsidRPr="005F4F9A" w:rsidTr="009C4262">
        <w:trPr>
          <w:trHeight w:val="839"/>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11.</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bCs/>
                <w:sz w:val="24"/>
                <w:szCs w:val="24"/>
              </w:rPr>
              <w:t>Frekvenču plānojuma apsvērumi</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222204">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(ES) 2016/687</w:t>
            </w:r>
          </w:p>
          <w:p w:rsidR="005F4F9A" w:rsidRPr="005F4F9A" w:rsidRDefault="005F4F9A">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(ES) 2017/899</w:t>
            </w:r>
          </w:p>
          <w:p w:rsidR="005F4F9A" w:rsidRPr="005F4F9A" w:rsidRDefault="005F4F9A">
            <w:pPr>
              <w:spacing w:after="0" w:line="240" w:lineRule="auto"/>
              <w:contextualSpacing/>
              <w:jc w:val="both"/>
              <w:rPr>
                <w:rFonts w:eastAsia="Times New Roman" w:cs="Times New Roman"/>
                <w:sz w:val="24"/>
                <w:szCs w:val="24"/>
                <w:lang w:eastAsia="lv-LV"/>
              </w:rPr>
            </w:pPr>
            <w:r w:rsidRPr="005F4F9A">
              <w:rPr>
                <w:rFonts w:eastAsia="Times New Roman" w:cs="Times New Roman"/>
                <w:sz w:val="24"/>
                <w:szCs w:val="24"/>
                <w:lang w:eastAsia="lv-LV"/>
              </w:rPr>
              <w:t>ECC/DEC/(15)01</w:t>
            </w:r>
          </w:p>
          <w:p w:rsidR="005F4F9A" w:rsidRPr="005F4F9A" w:rsidRDefault="005F4F9A">
            <w:pPr>
              <w:spacing w:after="0" w:line="240" w:lineRule="auto"/>
              <w:contextualSpacing/>
              <w:jc w:val="both"/>
              <w:rPr>
                <w:rFonts w:cs="Times New Roman"/>
                <w:sz w:val="24"/>
                <w:szCs w:val="24"/>
                <w:highlight w:val="yellow"/>
                <w:lang w:val="en-US"/>
              </w:rPr>
            </w:pPr>
            <w:r w:rsidRPr="005F4F9A">
              <w:rPr>
                <w:rFonts w:eastAsia="Times New Roman" w:cs="Times New Roman"/>
                <w:sz w:val="24"/>
                <w:szCs w:val="24"/>
                <w:lang w:eastAsia="lv-LV"/>
              </w:rPr>
              <w:t>ECC/DEC/(16)02</w:t>
            </w:r>
          </w:p>
        </w:tc>
        <w:tc>
          <w:tcPr>
            <w:tcW w:w="3260" w:type="dxa"/>
            <w:tcBorders>
              <w:top w:val="single" w:sz="4" w:space="0" w:color="000000"/>
              <w:left w:val="single" w:sz="4" w:space="0" w:color="000000"/>
              <w:bottom w:val="single" w:sz="4" w:space="0" w:color="000000"/>
              <w:right w:val="single" w:sz="4" w:space="0" w:color="000000"/>
            </w:tcBorders>
          </w:tcPr>
          <w:p w:rsidR="005F4F9A" w:rsidRPr="005F4F9A" w:rsidRDefault="005F4F9A" w:rsidP="0043732C">
            <w:pPr>
              <w:spacing w:after="0" w:line="240" w:lineRule="auto"/>
              <w:jc w:val="both"/>
              <w:rPr>
                <w:rFonts w:cs="Times New Roman"/>
                <w:sz w:val="24"/>
                <w:szCs w:val="24"/>
              </w:rPr>
            </w:pPr>
            <w:r w:rsidRPr="005F4F9A">
              <w:rPr>
                <w:rFonts w:cs="Times New Roman"/>
                <w:sz w:val="24"/>
                <w:szCs w:val="24"/>
              </w:rPr>
              <w:t>Radiofrekvenču spektra joslas 703–733 MHz, 758–788 MHz un 738–758 MHz paredzētas publisko elektronisko sakaru tīklu izveidošanai visā Latvijas Republikas teritorijā.</w:t>
            </w:r>
          </w:p>
          <w:p w:rsidR="005F4F9A" w:rsidRPr="005F4F9A" w:rsidRDefault="005F4F9A" w:rsidP="0043732C">
            <w:pPr>
              <w:spacing w:after="0" w:line="240" w:lineRule="auto"/>
              <w:jc w:val="both"/>
              <w:rPr>
                <w:rFonts w:cs="Times New Roman"/>
                <w:sz w:val="24"/>
                <w:szCs w:val="24"/>
              </w:rPr>
            </w:pPr>
          </w:p>
          <w:p w:rsidR="005F4F9A" w:rsidRPr="005F4F9A" w:rsidRDefault="005F4F9A" w:rsidP="0043732C">
            <w:pPr>
              <w:spacing w:after="0" w:line="240" w:lineRule="auto"/>
              <w:jc w:val="both"/>
              <w:rPr>
                <w:rFonts w:cs="Times New Roman"/>
                <w:sz w:val="24"/>
                <w:szCs w:val="24"/>
                <w:highlight w:val="yellow"/>
              </w:rPr>
            </w:pPr>
            <w:r w:rsidRPr="005F4F9A">
              <w:rPr>
                <w:rFonts w:cs="Times New Roman"/>
                <w:sz w:val="24"/>
                <w:szCs w:val="24"/>
              </w:rPr>
              <w:t>Šīs radiosaskarnes tehniskie nosacījumi bezvadu platjoslas elektronisko sakaru pakalpojumiem būtu arī jāizmanto, ja tiek īstenoti PPDR radiosakari radiofrekvenču spektra joslās 703–733 MHz un 758–788 MHz</w:t>
            </w:r>
          </w:p>
        </w:tc>
      </w:tr>
      <w:tr w:rsidR="005F4F9A" w:rsidRPr="005F4F9A" w:rsidTr="009C4262">
        <w:trPr>
          <w:trHeight w:val="290"/>
        </w:trPr>
        <w:tc>
          <w:tcPr>
            <w:tcW w:w="9072" w:type="dxa"/>
            <w:gridSpan w:val="4"/>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bCs/>
                <w:sz w:val="24"/>
                <w:szCs w:val="24"/>
              </w:rPr>
              <w:t>Informatīvā daļa</w:t>
            </w:r>
          </w:p>
        </w:tc>
      </w:tr>
      <w:tr w:rsidR="005F4F9A" w:rsidRPr="005F4F9A" w:rsidTr="009C4262">
        <w:trPr>
          <w:trHeight w:val="290"/>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12.</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Plānotie grozījumi</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eastAsia="Times New Roman" w:cs="Times New Roman"/>
                <w:sz w:val="24"/>
                <w:szCs w:val="24"/>
                <w:lang w:eastAsia="lv-LV"/>
              </w:rPr>
              <w:t>Nav noteikti</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t>Nav definēti</w:t>
            </w:r>
          </w:p>
        </w:tc>
      </w:tr>
      <w:tr w:rsidR="005F4F9A" w:rsidRPr="005F4F9A" w:rsidTr="009C4262">
        <w:trPr>
          <w:trHeight w:val="341"/>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13.</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Atsauce</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eastAsia="Times New Roman" w:cs="Times New Roman"/>
                <w:sz w:val="24"/>
                <w:szCs w:val="24"/>
                <w:lang w:eastAsia="lv-LV"/>
              </w:rPr>
              <w:t>Nav noteikta</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t>Nav definēt</w:t>
            </w:r>
            <w:r w:rsidR="00DB41D7">
              <w:rPr>
                <w:rFonts w:cs="Times New Roman"/>
                <w:sz w:val="24"/>
                <w:szCs w:val="24"/>
                <w:lang w:val="en-GB"/>
              </w:rPr>
              <w:t>a</w:t>
            </w:r>
          </w:p>
        </w:tc>
      </w:tr>
      <w:tr w:rsidR="005F4F9A" w:rsidRPr="005F4F9A" w:rsidTr="009C4262">
        <w:trPr>
          <w:trHeight w:val="290"/>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14.</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Paziņojuma numurs</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sz w:val="24"/>
                <w:szCs w:val="24"/>
              </w:rPr>
              <w:t>Nav noteikts</w:t>
            </w: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r w:rsidRPr="005F4F9A">
              <w:rPr>
                <w:rFonts w:cs="Times New Roman"/>
                <w:sz w:val="24"/>
                <w:szCs w:val="24"/>
                <w:lang w:val="en-GB"/>
              </w:rPr>
              <w:t>Nav definēti</w:t>
            </w:r>
          </w:p>
        </w:tc>
      </w:tr>
      <w:tr w:rsidR="005F4F9A" w:rsidRPr="005F4F9A" w:rsidTr="009C4262">
        <w:trPr>
          <w:trHeight w:val="271"/>
        </w:trPr>
        <w:tc>
          <w:tcPr>
            <w:tcW w:w="56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bCs/>
                <w:sz w:val="24"/>
                <w:szCs w:val="24"/>
                <w:lang w:val="en-GB"/>
              </w:rPr>
            </w:pPr>
            <w:r w:rsidRPr="005F4F9A">
              <w:rPr>
                <w:rFonts w:cs="Times New Roman"/>
                <w:bCs/>
                <w:sz w:val="24"/>
                <w:szCs w:val="24"/>
                <w:lang w:val="en-GB"/>
              </w:rPr>
              <w:t>15.</w:t>
            </w:r>
          </w:p>
        </w:tc>
        <w:tc>
          <w:tcPr>
            <w:tcW w:w="2127"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rPr>
            </w:pPr>
            <w:r w:rsidRPr="005F4F9A">
              <w:rPr>
                <w:rFonts w:cs="Times New Roman"/>
                <w:bCs/>
                <w:sz w:val="24"/>
                <w:szCs w:val="24"/>
              </w:rPr>
              <w:t>Piezīmes</w:t>
            </w:r>
          </w:p>
        </w:tc>
        <w:tc>
          <w:tcPr>
            <w:tcW w:w="3118"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p>
        </w:tc>
        <w:tc>
          <w:tcPr>
            <w:tcW w:w="3260" w:type="dxa"/>
            <w:tcBorders>
              <w:top w:val="single" w:sz="4" w:space="0" w:color="000000"/>
              <w:left w:val="single" w:sz="4" w:space="0" w:color="000000"/>
              <w:bottom w:val="single" w:sz="4" w:space="0" w:color="000000"/>
              <w:right w:val="single" w:sz="4" w:space="0" w:color="000000"/>
            </w:tcBorders>
            <w:hideMark/>
          </w:tcPr>
          <w:p w:rsidR="005F4F9A" w:rsidRPr="005F4F9A" w:rsidRDefault="005F4F9A" w:rsidP="0043732C">
            <w:pPr>
              <w:spacing w:after="0" w:line="240" w:lineRule="auto"/>
              <w:jc w:val="both"/>
              <w:rPr>
                <w:rFonts w:cs="Times New Roman"/>
                <w:sz w:val="24"/>
                <w:szCs w:val="24"/>
                <w:lang w:val="en-GB"/>
              </w:rPr>
            </w:pPr>
          </w:p>
        </w:tc>
      </w:tr>
    </w:tbl>
    <w:p w:rsidR="005F4F9A" w:rsidRPr="007B001B" w:rsidRDefault="005F4F9A" w:rsidP="0043732C">
      <w:pPr>
        <w:spacing w:after="0" w:line="240" w:lineRule="auto"/>
        <w:jc w:val="both"/>
        <w:rPr>
          <w:rFonts w:cs="Times New Roman"/>
          <w:sz w:val="24"/>
          <w:szCs w:val="24"/>
        </w:rPr>
      </w:pPr>
      <w:r>
        <w:rPr>
          <w:rFonts w:cs="Times New Roman"/>
          <w:sz w:val="24"/>
          <w:szCs w:val="24"/>
        </w:rPr>
        <w:t>.”</w:t>
      </w:r>
    </w:p>
    <w:p w:rsidR="006010EC" w:rsidRDefault="006010EC" w:rsidP="0043732C">
      <w:pPr>
        <w:jc w:val="both"/>
        <w:rPr>
          <w:rFonts w:cs="Times New Roman"/>
          <w:bCs/>
          <w:szCs w:val="28"/>
        </w:rPr>
      </w:pPr>
    </w:p>
    <w:p w:rsidR="006010EC" w:rsidRPr="007C04F6" w:rsidRDefault="00C02F61" w:rsidP="0043732C">
      <w:pPr>
        <w:pStyle w:val="ListParagraph"/>
        <w:numPr>
          <w:ilvl w:val="0"/>
          <w:numId w:val="2"/>
        </w:numPr>
        <w:jc w:val="both"/>
        <w:rPr>
          <w:rFonts w:cs="Times New Roman"/>
          <w:bCs/>
          <w:szCs w:val="28"/>
        </w:rPr>
      </w:pPr>
      <w:r w:rsidRPr="007C04F6">
        <w:rPr>
          <w:rFonts w:cs="Times New Roman"/>
          <w:bCs/>
          <w:szCs w:val="28"/>
        </w:rPr>
        <w:t>Izteikt 3.</w:t>
      </w:r>
      <w:r w:rsidR="00B1177D" w:rsidRPr="007C04F6">
        <w:rPr>
          <w:rFonts w:cs="Times New Roman"/>
          <w:bCs/>
          <w:szCs w:val="28"/>
        </w:rPr>
        <w:t> </w:t>
      </w:r>
      <w:r w:rsidRPr="007C04F6">
        <w:rPr>
          <w:rFonts w:cs="Times New Roman"/>
          <w:bCs/>
          <w:szCs w:val="28"/>
        </w:rPr>
        <w:t>pielikuma II.sadaļas 1.</w:t>
      </w:r>
      <w:r w:rsidR="00B1177D" w:rsidRPr="007C04F6">
        <w:rPr>
          <w:rFonts w:cs="Times New Roman"/>
          <w:bCs/>
          <w:szCs w:val="28"/>
        </w:rPr>
        <w:t> </w:t>
      </w:r>
      <w:r w:rsidRPr="007C04F6">
        <w:rPr>
          <w:rFonts w:cs="Times New Roman"/>
          <w:bCs/>
          <w:szCs w:val="28"/>
        </w:rPr>
        <w:t>punktu šādā redakcijā:</w:t>
      </w:r>
    </w:p>
    <w:p w:rsidR="006010EC" w:rsidRPr="00C02F61" w:rsidRDefault="00C02F61" w:rsidP="0043732C">
      <w:pPr>
        <w:spacing w:before="100" w:beforeAutospacing="1" w:after="100" w:afterAutospacing="1" w:line="240" w:lineRule="auto"/>
        <w:jc w:val="both"/>
        <w:rPr>
          <w:rFonts w:eastAsia="Times New Roman" w:cs="Times New Roman"/>
          <w:b/>
          <w:bCs/>
          <w:sz w:val="24"/>
          <w:szCs w:val="24"/>
          <w:lang w:eastAsia="lv-LV"/>
        </w:rPr>
      </w:pPr>
      <w:r w:rsidRPr="00C02F61">
        <w:rPr>
          <w:rFonts w:eastAsia="Times New Roman" w:cs="Times New Roman"/>
          <w:b/>
          <w:bCs/>
          <w:sz w:val="24"/>
          <w:szCs w:val="24"/>
          <w:lang w:eastAsia="lv-LV"/>
        </w:rPr>
        <w:t>“</w:t>
      </w:r>
      <w:r w:rsidR="006010EC" w:rsidRPr="00C02F61">
        <w:rPr>
          <w:rFonts w:eastAsia="Times New Roman" w:cs="Times New Roman"/>
          <w:b/>
          <w:bCs/>
          <w:sz w:val="24"/>
          <w:szCs w:val="24"/>
          <w:lang w:eastAsia="lv-LV"/>
        </w:rPr>
        <w:t>1. GSM un UMTS/IMT standarta publisko mobilo radiosakaru sistēmu galiekārtas</w:t>
      </w:r>
    </w:p>
    <w:p w:rsidR="006010EC" w:rsidRPr="00C02F61" w:rsidRDefault="006010EC" w:rsidP="0043732C">
      <w:pPr>
        <w:spacing w:before="100" w:beforeAutospacing="1" w:after="120" w:line="240" w:lineRule="auto"/>
        <w:jc w:val="both"/>
        <w:rPr>
          <w:rFonts w:eastAsia="Times New Roman" w:cs="Times New Roman"/>
          <w:b/>
          <w:bCs/>
          <w:sz w:val="24"/>
          <w:szCs w:val="24"/>
          <w:lang w:eastAsia="lv-LV"/>
        </w:rPr>
      </w:pPr>
      <w:r w:rsidRPr="00C02F61">
        <w:rPr>
          <w:rFonts w:eastAsia="Times New Roman" w:cs="Times New Roman"/>
          <w:b/>
          <w:bCs/>
          <w:sz w:val="24"/>
          <w:szCs w:val="24"/>
          <w:lang w:eastAsia="lv-LV"/>
        </w:rPr>
        <w:t>1.1. Tehniskās prasības</w:t>
      </w:r>
    </w:p>
    <w:p w:rsidR="006010EC" w:rsidRPr="00C02F61" w:rsidRDefault="006010EC" w:rsidP="0043732C">
      <w:pPr>
        <w:spacing w:after="0" w:line="240" w:lineRule="auto"/>
        <w:jc w:val="both"/>
        <w:rPr>
          <w:rFonts w:cs="Times New Roman"/>
          <w:sz w:val="24"/>
          <w:szCs w:val="24"/>
        </w:rPr>
      </w:pPr>
    </w:p>
    <w:tbl>
      <w:tblPr>
        <w:tblW w:w="5382"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3821"/>
        <w:gridCol w:w="5102"/>
      </w:tblGrid>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b/>
                <w:sz w:val="24"/>
                <w:szCs w:val="24"/>
                <w:lang w:eastAsia="lv-LV"/>
              </w:rPr>
            </w:pPr>
            <w:r w:rsidRPr="00F2252F">
              <w:rPr>
                <w:rFonts w:eastAsia="Times New Roman" w:cs="Times New Roman"/>
                <w:b/>
                <w:sz w:val="24"/>
                <w:szCs w:val="24"/>
                <w:lang w:eastAsia="lv-LV"/>
              </w:rPr>
              <w:t>Frekvenču josla</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b/>
                <w:sz w:val="24"/>
                <w:szCs w:val="24"/>
                <w:lang w:eastAsia="lv-LV"/>
              </w:rPr>
            </w:pPr>
            <w:r w:rsidRPr="00F2252F">
              <w:rPr>
                <w:rFonts w:eastAsia="Times New Roman" w:cs="Times New Roman"/>
                <w:b/>
                <w:sz w:val="24"/>
                <w:szCs w:val="24"/>
                <w:lang w:eastAsia="lv-LV"/>
              </w:rPr>
              <w:t>Piezīmes</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450–457,5 MHz/460–467,5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1C4405" w:rsidP="0043732C">
            <w:pPr>
              <w:spacing w:after="0" w:line="240" w:lineRule="auto"/>
              <w:jc w:val="both"/>
              <w:rPr>
                <w:rFonts w:eastAsia="Times New Roman" w:cs="Times New Roman"/>
                <w:sz w:val="24"/>
                <w:szCs w:val="24"/>
                <w:lang w:eastAsia="lv-LV"/>
              </w:rPr>
            </w:pPr>
            <w:r>
              <w:rPr>
                <w:rFonts w:eastAsia="Times New Roman" w:cs="Times New Roman"/>
                <w:sz w:val="24"/>
                <w:szCs w:val="24"/>
                <w:lang w:eastAsia="lv-LV"/>
              </w:rPr>
              <w:t>IMT</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791–821 MHz/832–862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IMT</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703-733 MHz/758-788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IMT</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880–915 MHz/925–960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GSM, UMTS/IMT-2000</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1710–1785 MHz/1805–1880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GSM, UMTS/IMT-2000</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1900–2025 MHz un 2110–2200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UMTS/IMT-2000 Zemes un satelītu sakaru mobilās galiekārtas</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2300–2370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IMT</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2500–2690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UMTS/IMT</w:t>
            </w:r>
          </w:p>
        </w:tc>
      </w:tr>
      <w:tr w:rsidR="006010EC" w:rsidRPr="00C02F61" w:rsidTr="00C02F61">
        <w:tc>
          <w:tcPr>
            <w:tcW w:w="2141"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3400–3800 MHz</w:t>
            </w:r>
          </w:p>
        </w:tc>
        <w:tc>
          <w:tcPr>
            <w:tcW w:w="2859" w:type="pct"/>
            <w:tcBorders>
              <w:top w:val="outset" w:sz="6" w:space="0" w:color="414142"/>
              <w:left w:val="outset" w:sz="6" w:space="0" w:color="414142"/>
              <w:bottom w:val="outset" w:sz="6" w:space="0" w:color="414142"/>
              <w:right w:val="outset" w:sz="6" w:space="0" w:color="414142"/>
            </w:tcBorders>
            <w:shd w:val="clear" w:color="auto" w:fill="FFFFFF"/>
            <w:hideMark/>
          </w:tcPr>
          <w:p w:rsidR="006010EC" w:rsidRPr="00F2252F" w:rsidRDefault="006010EC" w:rsidP="0043732C">
            <w:pPr>
              <w:spacing w:after="0" w:line="240" w:lineRule="auto"/>
              <w:jc w:val="both"/>
              <w:rPr>
                <w:rFonts w:eastAsia="Times New Roman" w:cs="Times New Roman"/>
                <w:sz w:val="24"/>
                <w:szCs w:val="24"/>
                <w:lang w:eastAsia="lv-LV"/>
              </w:rPr>
            </w:pPr>
            <w:r w:rsidRPr="00F2252F">
              <w:rPr>
                <w:rFonts w:eastAsia="Times New Roman" w:cs="Times New Roman"/>
                <w:sz w:val="24"/>
                <w:szCs w:val="24"/>
                <w:lang w:eastAsia="lv-LV"/>
              </w:rPr>
              <w:t>BWA/IMT</w:t>
            </w:r>
          </w:p>
        </w:tc>
      </w:tr>
    </w:tbl>
    <w:p w:rsidR="006010EC" w:rsidRDefault="00F2252F" w:rsidP="0043732C">
      <w:pPr>
        <w:jc w:val="both"/>
        <w:rPr>
          <w:rFonts w:cs="Times New Roman"/>
          <w:bCs/>
          <w:szCs w:val="28"/>
        </w:rPr>
      </w:pPr>
      <w:r>
        <w:rPr>
          <w:rFonts w:cs="Times New Roman"/>
          <w:bCs/>
          <w:szCs w:val="28"/>
        </w:rPr>
        <w:t>.”</w:t>
      </w:r>
    </w:p>
    <w:p w:rsidR="006010EC" w:rsidRPr="00B3043B" w:rsidRDefault="006010EC" w:rsidP="0043732C">
      <w:pPr>
        <w:jc w:val="both"/>
        <w:rPr>
          <w:rFonts w:cs="Times New Roman"/>
          <w:bCs/>
          <w:szCs w:val="28"/>
        </w:rPr>
      </w:pPr>
    </w:p>
    <w:p w:rsidR="00B3043B" w:rsidRPr="007C04F6" w:rsidRDefault="00B3043B" w:rsidP="00222204">
      <w:pPr>
        <w:pStyle w:val="ListParagraph"/>
        <w:numPr>
          <w:ilvl w:val="0"/>
          <w:numId w:val="2"/>
        </w:numPr>
        <w:jc w:val="both"/>
        <w:rPr>
          <w:rFonts w:cs="Times New Roman"/>
          <w:bCs/>
          <w:szCs w:val="28"/>
        </w:rPr>
      </w:pPr>
      <w:r w:rsidRPr="007C04F6">
        <w:rPr>
          <w:rFonts w:cs="Times New Roman"/>
          <w:bCs/>
          <w:szCs w:val="28"/>
        </w:rPr>
        <w:lastRenderedPageBreak/>
        <w:t>Papildināt 3. pielikumu ar 8.15. </w:t>
      </w:r>
      <w:r w:rsidR="00222204">
        <w:rPr>
          <w:rFonts w:cs="Times New Roman"/>
          <w:bCs/>
          <w:szCs w:val="28"/>
        </w:rPr>
        <w:t>apakš</w:t>
      </w:r>
      <w:r w:rsidRPr="007C04F6">
        <w:rPr>
          <w:rFonts w:cs="Times New Roman"/>
          <w:bCs/>
          <w:szCs w:val="28"/>
        </w:rPr>
        <w:t>punktu šādā redakcijā:</w:t>
      </w:r>
    </w:p>
    <w:p w:rsidR="008C1B24" w:rsidRPr="008C1B24" w:rsidRDefault="007A1DED" w:rsidP="0043732C">
      <w:pPr>
        <w:spacing w:before="100" w:beforeAutospacing="1" w:after="100" w:afterAutospacing="1" w:line="240" w:lineRule="auto"/>
        <w:jc w:val="both"/>
        <w:rPr>
          <w:rFonts w:eastAsia="Times New Roman" w:cs="Times New Roman"/>
          <w:b/>
          <w:sz w:val="24"/>
          <w:szCs w:val="24"/>
          <w:lang w:eastAsia="lv-LV"/>
        </w:rPr>
      </w:pPr>
      <w:r>
        <w:rPr>
          <w:rFonts w:eastAsia="Times New Roman" w:cs="Times New Roman"/>
          <w:b/>
          <w:bCs/>
          <w:sz w:val="24"/>
          <w:szCs w:val="24"/>
          <w:lang w:eastAsia="lv-LV"/>
        </w:rPr>
        <w:t>“</w:t>
      </w:r>
      <w:r w:rsidR="008C1B24" w:rsidRPr="008C1B24">
        <w:rPr>
          <w:rFonts w:eastAsia="Times New Roman" w:cs="Times New Roman"/>
          <w:b/>
          <w:sz w:val="24"/>
          <w:szCs w:val="24"/>
          <w:lang w:eastAsia="lv-LV"/>
        </w:rPr>
        <w:t>8.15. Harmonizēti tehniskie parametri izmantošanai maza darbības attāluma ierīcēm 874–876 un 915–921 MHz frekvenču joslās</w:t>
      </w:r>
    </w:p>
    <w:p w:rsidR="0026284D" w:rsidRPr="0026284D" w:rsidRDefault="00803072" w:rsidP="00222204">
      <w:pPr>
        <w:spacing w:after="0" w:line="240" w:lineRule="auto"/>
        <w:jc w:val="both"/>
        <w:rPr>
          <w:rFonts w:eastAsia="Times New Roman" w:cs="Times New Roman"/>
          <w:bCs/>
          <w:sz w:val="24"/>
          <w:szCs w:val="24"/>
          <w:lang w:eastAsia="lv-LV"/>
        </w:rPr>
      </w:pPr>
      <w:r w:rsidRPr="00803072">
        <w:rPr>
          <w:rFonts w:eastAsia="Times New Roman" w:cs="Times New Roman"/>
          <w:bCs/>
          <w:sz w:val="24"/>
          <w:szCs w:val="24"/>
          <w:lang w:eastAsia="lv-LV"/>
        </w:rPr>
        <w:t>Radiofrekvenču spektra</w:t>
      </w:r>
      <w:r>
        <w:rPr>
          <w:rFonts w:eastAsia="Times New Roman" w:cs="Times New Roman"/>
          <w:bCs/>
          <w:sz w:val="24"/>
          <w:szCs w:val="24"/>
          <w:lang w:eastAsia="lv-LV"/>
        </w:rPr>
        <w:t xml:space="preserve"> harmonizēšana izmantošanai maza darbības attāluma ierīcēm 874-876 un 915-921 MHz frekvenču joslās nodrošin</w:t>
      </w:r>
      <w:r w:rsidR="0026284D">
        <w:rPr>
          <w:rFonts w:eastAsia="Times New Roman" w:cs="Times New Roman"/>
          <w:bCs/>
          <w:sz w:val="24"/>
          <w:szCs w:val="24"/>
          <w:lang w:eastAsia="lv-LV"/>
        </w:rPr>
        <w:t>a</w:t>
      </w:r>
      <w:r>
        <w:rPr>
          <w:rFonts w:eastAsia="Times New Roman" w:cs="Times New Roman"/>
          <w:bCs/>
          <w:sz w:val="24"/>
          <w:szCs w:val="24"/>
          <w:lang w:eastAsia="lv-LV"/>
        </w:rPr>
        <w:t xml:space="preserve"> spektra pieejamību </w:t>
      </w:r>
      <w:r w:rsidR="00C87AC4">
        <w:rPr>
          <w:rFonts w:eastAsia="Times New Roman" w:cs="Times New Roman"/>
          <w:bCs/>
          <w:sz w:val="24"/>
          <w:szCs w:val="24"/>
          <w:lang w:eastAsia="lv-LV"/>
        </w:rPr>
        <w:t xml:space="preserve">jauniem mašīnas – mašīnas sakaru un lietu internetam </w:t>
      </w:r>
      <w:r w:rsidR="00C87AC4" w:rsidRPr="002E552A">
        <w:rPr>
          <w:rFonts w:eastAsia="Times New Roman" w:cs="Times New Roman"/>
          <w:bCs/>
          <w:i/>
          <w:sz w:val="24"/>
          <w:szCs w:val="24"/>
          <w:lang w:eastAsia="lv-LV"/>
        </w:rPr>
        <w:t>(IoT)</w:t>
      </w:r>
      <w:r w:rsidR="00C87AC4">
        <w:rPr>
          <w:rFonts w:eastAsia="Times New Roman" w:cs="Times New Roman"/>
          <w:bCs/>
          <w:sz w:val="24"/>
          <w:szCs w:val="24"/>
          <w:lang w:eastAsia="lv-LV"/>
        </w:rPr>
        <w:t xml:space="preserve"> lietojumiem</w:t>
      </w:r>
      <w:r>
        <w:rPr>
          <w:rFonts w:eastAsia="Times New Roman" w:cs="Times New Roman"/>
          <w:bCs/>
          <w:sz w:val="24"/>
          <w:szCs w:val="24"/>
          <w:lang w:eastAsia="lv-LV"/>
        </w:rPr>
        <w:t xml:space="preserve">, aptverot arī radioidentifikāciju </w:t>
      </w:r>
      <w:r w:rsidRPr="002E552A">
        <w:rPr>
          <w:rFonts w:eastAsia="Times New Roman" w:cs="Times New Roman"/>
          <w:bCs/>
          <w:i/>
          <w:sz w:val="24"/>
          <w:szCs w:val="24"/>
          <w:lang w:eastAsia="lv-LV"/>
        </w:rPr>
        <w:t>(RFID)</w:t>
      </w:r>
      <w:r>
        <w:rPr>
          <w:rFonts w:eastAsia="Times New Roman" w:cs="Times New Roman"/>
          <w:bCs/>
          <w:sz w:val="24"/>
          <w:szCs w:val="24"/>
          <w:lang w:eastAsia="lv-LV"/>
        </w:rPr>
        <w:t xml:space="preserve">. </w:t>
      </w:r>
      <w:r w:rsidR="0026284D" w:rsidRPr="0026284D">
        <w:rPr>
          <w:sz w:val="24"/>
          <w:szCs w:val="24"/>
        </w:rPr>
        <w:t xml:space="preserve">Tehniskos nosacījumus 863–870 MHz frekvenču joslas izmantošanai </w:t>
      </w:r>
      <w:r w:rsidR="0026284D" w:rsidRPr="0026284D">
        <w:rPr>
          <w:iCs/>
          <w:sz w:val="24"/>
          <w:szCs w:val="24"/>
        </w:rPr>
        <w:t>IoT</w:t>
      </w:r>
      <w:r w:rsidR="0026284D" w:rsidRPr="0026284D">
        <w:rPr>
          <w:i/>
          <w:iCs/>
          <w:sz w:val="24"/>
          <w:szCs w:val="24"/>
        </w:rPr>
        <w:t xml:space="preserve"> </w:t>
      </w:r>
      <w:r w:rsidR="0026284D" w:rsidRPr="0026284D">
        <w:rPr>
          <w:sz w:val="24"/>
          <w:szCs w:val="24"/>
        </w:rPr>
        <w:t xml:space="preserve">vajadzībām, ieskaitot </w:t>
      </w:r>
      <w:r w:rsidR="0026284D" w:rsidRPr="002E552A">
        <w:rPr>
          <w:i/>
          <w:iCs/>
          <w:sz w:val="24"/>
          <w:szCs w:val="24"/>
        </w:rPr>
        <w:t>RFID</w:t>
      </w:r>
      <w:r w:rsidR="0026284D" w:rsidRPr="0026284D">
        <w:rPr>
          <w:sz w:val="24"/>
          <w:szCs w:val="24"/>
        </w:rPr>
        <w:t xml:space="preserve">, aptver Lēmums 2006/771/EK, kurā doti vispārīgie harmonizētie tehniskie nosacījumi visdažādāko maza darbības attāluma ierīču izmantošanai, kurām līdz ar to vajadzīga tikai vispārēja atļauja. Taču koplietošanas vide 874–876 MHz un 915–921 MHz joslā neatbilst šai pieejai spektra izmantošanā maza darbības attāluma ierīcēm un prasa </w:t>
      </w:r>
      <w:r w:rsidR="0013050E">
        <w:rPr>
          <w:sz w:val="24"/>
          <w:szCs w:val="24"/>
        </w:rPr>
        <w:t>citādu</w:t>
      </w:r>
      <w:r w:rsidR="0026284D" w:rsidRPr="0026284D">
        <w:rPr>
          <w:sz w:val="24"/>
          <w:szCs w:val="24"/>
        </w:rPr>
        <w:t xml:space="preserve"> regul</w:t>
      </w:r>
      <w:r w:rsidR="0013050E">
        <w:rPr>
          <w:sz w:val="24"/>
          <w:szCs w:val="24"/>
        </w:rPr>
        <w:t>ējumu</w:t>
      </w:r>
      <w:r w:rsidR="0026284D" w:rsidRPr="0026284D">
        <w:rPr>
          <w:sz w:val="24"/>
          <w:szCs w:val="24"/>
        </w:rPr>
        <w:t xml:space="preserve"> </w:t>
      </w:r>
      <w:r w:rsidR="00EB0050">
        <w:rPr>
          <w:sz w:val="24"/>
          <w:szCs w:val="24"/>
        </w:rPr>
        <w:t>atbilstoš</w:t>
      </w:r>
      <w:r w:rsidR="008C7D51">
        <w:rPr>
          <w:sz w:val="24"/>
          <w:szCs w:val="24"/>
        </w:rPr>
        <w:t>i</w:t>
      </w:r>
      <w:r w:rsidR="00EB0050">
        <w:rPr>
          <w:sz w:val="24"/>
          <w:szCs w:val="24"/>
        </w:rPr>
        <w:t xml:space="preserve"> </w:t>
      </w:r>
      <w:r w:rsidR="0076243C">
        <w:rPr>
          <w:sz w:val="24"/>
          <w:szCs w:val="24"/>
        </w:rPr>
        <w:t>2018. gada 11. oktobra Komisijas Īstenošanas Lēmumam (ES) 2018/1538 (turpmāk – Lēmums 2018/1538)</w:t>
      </w:r>
      <w:r w:rsidR="0026284D" w:rsidRPr="0026284D">
        <w:rPr>
          <w:sz w:val="24"/>
          <w:szCs w:val="24"/>
        </w:rPr>
        <w:t>.</w:t>
      </w:r>
    </w:p>
    <w:p w:rsidR="00803072" w:rsidRPr="00C87AC4" w:rsidRDefault="00803072">
      <w:pPr>
        <w:spacing w:after="0" w:line="240" w:lineRule="auto"/>
        <w:jc w:val="both"/>
        <w:rPr>
          <w:rFonts w:eastAsia="Times New Roman" w:cs="Times New Roman"/>
          <w:bCs/>
          <w:sz w:val="24"/>
          <w:szCs w:val="24"/>
          <w:lang w:eastAsia="lv-LV"/>
        </w:rPr>
      </w:pPr>
    </w:p>
    <w:p w:rsidR="003B2BC8" w:rsidRPr="00C87AC4" w:rsidRDefault="00C87AC4">
      <w:pPr>
        <w:spacing w:after="0" w:line="240" w:lineRule="auto"/>
        <w:jc w:val="both"/>
        <w:rPr>
          <w:rFonts w:eastAsia="Times New Roman" w:cs="Times New Roman"/>
          <w:b/>
          <w:bCs/>
          <w:sz w:val="24"/>
          <w:szCs w:val="24"/>
          <w:lang w:eastAsia="lv-LV"/>
        </w:rPr>
      </w:pPr>
      <w:r w:rsidRPr="00C87AC4">
        <w:rPr>
          <w:sz w:val="24"/>
          <w:szCs w:val="24"/>
        </w:rPr>
        <w:t xml:space="preserve">Šie mašīnas–mašīnas sakaru un </w:t>
      </w:r>
      <w:r w:rsidRPr="00C87AC4">
        <w:rPr>
          <w:i/>
          <w:iCs/>
          <w:sz w:val="24"/>
          <w:szCs w:val="24"/>
        </w:rPr>
        <w:t xml:space="preserve">IoT </w:t>
      </w:r>
      <w:r w:rsidRPr="00C87AC4">
        <w:rPr>
          <w:sz w:val="24"/>
          <w:szCs w:val="24"/>
        </w:rPr>
        <w:t xml:space="preserve">lietojumi balstās uz tīklā savienotām maza darbības attāluma ierīcēm, ko vada tīkla piekļuves punkti, kuri, datu tīklā būdami fiksēta tīkla piekļuves punkti, citām maza darbības attāluma ierīcēm tajā kalpo par punktu savienojumam ar pakalpojumu platformām ārpus minētā tīkla, pārsūtot datus, kas iegūti no to vadītajiem galamezgliem. </w:t>
      </w:r>
    </w:p>
    <w:p w:rsidR="003B2BC8" w:rsidRPr="00C87AC4" w:rsidRDefault="003B2BC8">
      <w:pPr>
        <w:spacing w:after="0" w:line="240" w:lineRule="auto"/>
        <w:jc w:val="both"/>
        <w:rPr>
          <w:rFonts w:eastAsia="Times New Roman" w:cs="Times New Roman"/>
          <w:b/>
          <w:bCs/>
          <w:sz w:val="24"/>
          <w:szCs w:val="24"/>
          <w:lang w:eastAsia="lv-LV"/>
        </w:rPr>
      </w:pPr>
    </w:p>
    <w:p w:rsidR="00E911C7" w:rsidRPr="0076473D" w:rsidRDefault="00E911C7">
      <w:pPr>
        <w:spacing w:after="0" w:line="240" w:lineRule="auto"/>
        <w:jc w:val="both"/>
        <w:rPr>
          <w:rFonts w:eastAsia="Times New Roman" w:cs="Times New Roman"/>
          <w:b/>
          <w:bCs/>
          <w:sz w:val="24"/>
          <w:szCs w:val="24"/>
          <w:lang w:eastAsia="lv-LV"/>
        </w:rPr>
      </w:pPr>
      <w:r w:rsidRPr="0076473D">
        <w:rPr>
          <w:rFonts w:eastAsia="Times New Roman" w:cs="Times New Roman"/>
          <w:b/>
          <w:bCs/>
          <w:sz w:val="24"/>
          <w:szCs w:val="24"/>
          <w:lang w:eastAsia="lv-LV"/>
        </w:rPr>
        <w:t xml:space="preserve">8.15.1. </w:t>
      </w:r>
      <w:r w:rsidR="003B2BC8">
        <w:rPr>
          <w:rFonts w:eastAsia="Times New Roman" w:cs="Times New Roman"/>
          <w:b/>
          <w:bCs/>
          <w:sz w:val="24"/>
          <w:szCs w:val="24"/>
          <w:lang w:eastAsia="lv-LV"/>
        </w:rPr>
        <w:t>Tehniskās prasības</w:t>
      </w:r>
    </w:p>
    <w:p w:rsidR="00B3043B" w:rsidRPr="0041024D" w:rsidRDefault="00B3043B">
      <w:pPr>
        <w:spacing w:after="0" w:line="240" w:lineRule="auto"/>
        <w:jc w:val="both"/>
        <w:rPr>
          <w:rFonts w:cs="Times New Roman"/>
          <w:b/>
          <w:sz w:val="24"/>
          <w:szCs w:val="24"/>
        </w:rPr>
      </w:pPr>
    </w:p>
    <w:tbl>
      <w:tblPr>
        <w:tblW w:w="5527" w:type="pct"/>
        <w:tblCellSpacing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10"/>
        <w:gridCol w:w="1060"/>
        <w:gridCol w:w="1349"/>
        <w:gridCol w:w="2126"/>
        <w:gridCol w:w="2127"/>
        <w:gridCol w:w="1798"/>
      </w:tblGrid>
      <w:tr w:rsidR="00B3043B" w:rsidRPr="00B2068A" w:rsidTr="00B3043B">
        <w:trPr>
          <w:tblCellSpacing w:w="0" w:type="dxa"/>
        </w:trPr>
        <w:tc>
          <w:tcPr>
            <w:tcW w:w="710"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Jos</w:t>
            </w:r>
            <w:r w:rsidRPr="00B2068A">
              <w:rPr>
                <w:rFonts w:eastAsia="Times New Roman" w:cs="Times New Roman"/>
                <w:bCs/>
                <w:color w:val="000000"/>
                <w:sz w:val="20"/>
                <w:szCs w:val="20"/>
                <w:lang w:eastAsia="lv-LV"/>
              </w:rPr>
              <w:softHyphen/>
              <w:t>las Nr.</w:t>
            </w:r>
          </w:p>
        </w:tc>
        <w:tc>
          <w:tcPr>
            <w:tcW w:w="1060"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Frekvenču josla</w:t>
            </w:r>
          </w:p>
        </w:tc>
        <w:tc>
          <w:tcPr>
            <w:tcW w:w="1349"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Maza darbības attāluma ierīču kategorija</w:t>
            </w:r>
          </w:p>
        </w:tc>
        <w:tc>
          <w:tcPr>
            <w:tcW w:w="2126"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Pārraides jaudas robežvērtība/lauka intensitātes robežvērtība/jau</w:t>
            </w:r>
            <w:r w:rsidRPr="00B2068A">
              <w:rPr>
                <w:rFonts w:eastAsia="Times New Roman" w:cs="Times New Roman"/>
                <w:bCs/>
                <w:color w:val="000000"/>
                <w:sz w:val="20"/>
                <w:szCs w:val="20"/>
                <w:lang w:eastAsia="lv-LV"/>
              </w:rPr>
              <w:softHyphen/>
              <w:t>das blīvuma robežvērtība</w:t>
            </w:r>
          </w:p>
        </w:tc>
        <w:tc>
          <w:tcPr>
            <w:tcW w:w="2127"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Papildu parametri (kanālu sakārtojuma un/vai kanāla piekļuves un aizņemšanas noteikumi)</w:t>
            </w:r>
          </w:p>
        </w:tc>
        <w:tc>
          <w:tcPr>
            <w:tcW w:w="1798" w:type="dxa"/>
            <w:shd w:val="clear" w:color="auto" w:fill="FFFFFF"/>
            <w:vAlign w:val="center"/>
            <w:hideMark/>
          </w:tcPr>
          <w:p w:rsidR="00B3043B" w:rsidRPr="00B2068A" w:rsidRDefault="00B3043B" w:rsidP="0043732C">
            <w:pPr>
              <w:spacing w:before="60" w:after="60" w:line="240" w:lineRule="auto"/>
              <w:ind w:right="195"/>
              <w:jc w:val="both"/>
              <w:rPr>
                <w:rFonts w:eastAsia="Times New Roman" w:cs="Times New Roman"/>
                <w:bCs/>
                <w:color w:val="000000"/>
                <w:sz w:val="20"/>
                <w:szCs w:val="20"/>
                <w:lang w:eastAsia="lv-LV"/>
              </w:rPr>
            </w:pPr>
            <w:r w:rsidRPr="00B2068A">
              <w:rPr>
                <w:rFonts w:eastAsia="Times New Roman" w:cs="Times New Roman"/>
                <w:bCs/>
                <w:color w:val="000000"/>
                <w:sz w:val="20"/>
                <w:szCs w:val="20"/>
                <w:lang w:eastAsia="lv-LV"/>
              </w:rPr>
              <w:t>Citi izmantošanas ierobežojumi</w:t>
            </w:r>
          </w:p>
        </w:tc>
      </w:tr>
      <w:tr w:rsidR="00B3043B" w:rsidRPr="00B2068A" w:rsidTr="00B3043B">
        <w:trPr>
          <w:tblCellSpacing w:w="0" w:type="dxa"/>
        </w:trPr>
        <w:tc>
          <w:tcPr>
            <w:tcW w:w="710" w:type="dxa"/>
            <w:shd w:val="clear" w:color="auto" w:fill="FFFFFF"/>
            <w:hideMark/>
          </w:tcPr>
          <w:p w:rsidR="00B3043B" w:rsidRPr="00B2068A" w:rsidRDefault="00B3043B" w:rsidP="0043732C">
            <w:pPr>
              <w:spacing w:before="60" w:after="60" w:line="240" w:lineRule="auto"/>
              <w:jc w:val="both"/>
              <w:rPr>
                <w:rFonts w:eastAsia="Times New Roman" w:cs="Times New Roman"/>
                <w:color w:val="000000"/>
                <w:sz w:val="20"/>
                <w:szCs w:val="20"/>
                <w:lang w:eastAsia="lv-LV"/>
              </w:rPr>
            </w:pPr>
            <w:r w:rsidRPr="00B2068A">
              <w:rPr>
                <w:rFonts w:eastAsia="Times New Roman" w:cs="Times New Roman"/>
                <w:color w:val="000000"/>
                <w:sz w:val="20"/>
                <w:szCs w:val="20"/>
                <w:lang w:eastAsia="lv-LV"/>
              </w:rPr>
              <w:t>1</w:t>
            </w:r>
          </w:p>
        </w:tc>
        <w:tc>
          <w:tcPr>
            <w:tcW w:w="1060" w:type="dxa"/>
            <w:shd w:val="clear" w:color="auto" w:fill="FFFFFF"/>
          </w:tcPr>
          <w:p w:rsidR="00B3043B" w:rsidRPr="00B2068A" w:rsidRDefault="00B3043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874–874,4 MHz</w:t>
            </w:r>
            <w:r w:rsidR="00A40EFB">
              <w:rPr>
                <w:sz w:val="20"/>
                <w:szCs w:val="20"/>
              </w:rPr>
              <w:t xml:space="preserve"> </w:t>
            </w:r>
            <w:r w:rsidR="00A40EFB" w:rsidRPr="00F3198C">
              <w:rPr>
                <w:sz w:val="24"/>
                <w:szCs w:val="24"/>
                <w:vertAlign w:val="superscript"/>
              </w:rPr>
              <w:t>8</w:t>
            </w:r>
          </w:p>
        </w:tc>
        <w:tc>
          <w:tcPr>
            <w:tcW w:w="1349" w:type="dxa"/>
            <w:shd w:val="clear" w:color="auto" w:fill="FFFFFF"/>
          </w:tcPr>
          <w:p w:rsidR="00B3043B" w:rsidRPr="00B2068A" w:rsidRDefault="00B3043B" w:rsidP="0043732C">
            <w:pPr>
              <w:spacing w:before="60" w:after="60" w:line="240" w:lineRule="auto"/>
              <w:ind w:left="63" w:right="132"/>
              <w:jc w:val="both"/>
              <w:rPr>
                <w:rFonts w:eastAsia="Times New Roman" w:cs="Times New Roman"/>
                <w:color w:val="000000"/>
                <w:sz w:val="20"/>
                <w:szCs w:val="20"/>
                <w:lang w:eastAsia="lv-LV"/>
              </w:rPr>
            </w:pPr>
            <w:r w:rsidRPr="00B2068A">
              <w:rPr>
                <w:sz w:val="20"/>
                <w:szCs w:val="20"/>
              </w:rPr>
              <w:t>Nespecifiskas maza darbības attāluma ierīces</w:t>
            </w:r>
            <w:r w:rsidR="00A40EFB" w:rsidRPr="00F3198C">
              <w:rPr>
                <w:sz w:val="24"/>
                <w:szCs w:val="24"/>
                <w:vertAlign w:val="superscript"/>
              </w:rPr>
              <w:t>1</w:t>
            </w:r>
          </w:p>
        </w:tc>
        <w:tc>
          <w:tcPr>
            <w:tcW w:w="2126" w:type="dxa"/>
            <w:shd w:val="clear" w:color="auto" w:fill="FFFFFF"/>
          </w:tcPr>
          <w:p w:rsidR="00B3043B" w:rsidRPr="00B2068A" w:rsidRDefault="00B3043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500 mW e.r.p. Vajadzīga adaptīvā jaudas kontrole (</w:t>
            </w:r>
            <w:r w:rsidRPr="00B2068A">
              <w:rPr>
                <w:i/>
                <w:iCs/>
                <w:sz w:val="20"/>
                <w:szCs w:val="20"/>
              </w:rPr>
              <w:t>APC</w:t>
            </w:r>
            <w:r w:rsidRPr="00B2068A">
              <w:rPr>
                <w:sz w:val="20"/>
                <w:szCs w:val="20"/>
              </w:rPr>
              <w:t>), alternatīvi – citi traucējumu mazināšanas paņēmieni, kas panāk vismaz tikpat augstu saderību ar spektru</w:t>
            </w:r>
          </w:p>
        </w:tc>
        <w:tc>
          <w:tcPr>
            <w:tcW w:w="2127" w:type="dxa"/>
            <w:shd w:val="clear" w:color="auto" w:fill="FFFFFF"/>
          </w:tcPr>
          <w:p w:rsidR="00B3043B" w:rsidRPr="00B2068A" w:rsidRDefault="00B3043B" w:rsidP="00222204">
            <w:pPr>
              <w:spacing w:before="120" w:after="0" w:line="240" w:lineRule="auto"/>
              <w:ind w:left="132" w:right="132"/>
              <w:jc w:val="both"/>
              <w:rPr>
                <w:rFonts w:eastAsia="Times New Roman" w:cs="Times New Roman"/>
                <w:color w:val="000000"/>
                <w:sz w:val="20"/>
                <w:szCs w:val="20"/>
                <w:lang w:eastAsia="lv-LV"/>
              </w:rPr>
            </w:pPr>
            <w:r w:rsidRPr="00B2068A">
              <w:rPr>
                <w:sz w:val="20"/>
                <w:szCs w:val="20"/>
              </w:rPr>
              <w:t>Joslas platums ≤ 200 kHz. Darbības cikls ≤ 10 % tīkla piekļuves punktiem(4) Darbības cikls 2,5 % pārējos gadījumos</w:t>
            </w:r>
          </w:p>
        </w:tc>
        <w:tc>
          <w:tcPr>
            <w:tcW w:w="1798" w:type="dxa"/>
            <w:shd w:val="clear" w:color="auto" w:fill="FFFFFF"/>
          </w:tcPr>
          <w:p w:rsidR="00B3043B" w:rsidRPr="00B2068A" w:rsidRDefault="00B3043B">
            <w:pPr>
              <w:spacing w:before="120" w:after="0" w:line="240" w:lineRule="auto"/>
              <w:ind w:left="131" w:right="87"/>
              <w:jc w:val="both"/>
              <w:rPr>
                <w:rFonts w:eastAsia="Times New Roman" w:cs="Times New Roman"/>
                <w:color w:val="000000"/>
                <w:sz w:val="20"/>
                <w:szCs w:val="20"/>
                <w:lang w:eastAsia="lv-LV"/>
              </w:rPr>
            </w:pPr>
            <w:r w:rsidRPr="00B2068A">
              <w:rPr>
                <w:sz w:val="20"/>
                <w:szCs w:val="20"/>
              </w:rPr>
              <w:t>Šis izmantošanas nosacījumu kopums attiecas tikai uz datu tīkliem. Visas ierīces datu tīklā darboja</w:t>
            </w:r>
            <w:r w:rsidR="00A40EFB">
              <w:rPr>
                <w:sz w:val="20"/>
                <w:szCs w:val="20"/>
              </w:rPr>
              <w:t xml:space="preserve">s tīkla piekļuves punktu vadībā </w:t>
            </w:r>
            <w:r w:rsidRPr="00F3198C">
              <w:rPr>
                <w:sz w:val="24"/>
                <w:szCs w:val="24"/>
                <w:vertAlign w:val="superscript"/>
              </w:rPr>
              <w:t>4</w:t>
            </w:r>
            <w:r w:rsidR="00A40EFB" w:rsidRPr="00F3198C">
              <w:rPr>
                <w:sz w:val="24"/>
                <w:szCs w:val="24"/>
                <w:vertAlign w:val="superscript"/>
              </w:rPr>
              <w:t xml:space="preserve">, </w:t>
            </w:r>
            <w:r w:rsidRPr="00F3198C">
              <w:rPr>
                <w:sz w:val="24"/>
                <w:szCs w:val="24"/>
                <w:vertAlign w:val="superscript"/>
              </w:rPr>
              <w:t>5</w:t>
            </w:r>
            <w:r w:rsidR="00A40EFB" w:rsidRPr="00F3198C">
              <w:rPr>
                <w:sz w:val="24"/>
                <w:szCs w:val="24"/>
                <w:vertAlign w:val="superscript"/>
              </w:rPr>
              <w:t xml:space="preserve">, </w:t>
            </w:r>
            <w:r w:rsidRPr="00F3198C">
              <w:rPr>
                <w:sz w:val="24"/>
                <w:szCs w:val="24"/>
                <w:vertAlign w:val="superscript"/>
              </w:rPr>
              <w:t>6</w:t>
            </w:r>
            <w:r w:rsidR="00A40EFB" w:rsidRPr="00F3198C">
              <w:rPr>
                <w:sz w:val="24"/>
                <w:szCs w:val="24"/>
                <w:vertAlign w:val="superscript"/>
              </w:rPr>
              <w:t xml:space="preserve">, </w:t>
            </w:r>
            <w:r w:rsidRPr="00F3198C">
              <w:rPr>
                <w:sz w:val="24"/>
                <w:szCs w:val="24"/>
                <w:vertAlign w:val="superscript"/>
              </w:rPr>
              <w:t>7</w:t>
            </w:r>
          </w:p>
        </w:tc>
      </w:tr>
      <w:tr w:rsidR="00B3043B" w:rsidRPr="00B2068A" w:rsidTr="00B3043B">
        <w:trPr>
          <w:tblCellSpacing w:w="0" w:type="dxa"/>
        </w:trPr>
        <w:tc>
          <w:tcPr>
            <w:tcW w:w="710" w:type="dxa"/>
            <w:shd w:val="clear" w:color="auto" w:fill="FFFFFF"/>
            <w:hideMark/>
          </w:tcPr>
          <w:p w:rsidR="00B3043B" w:rsidRPr="00B2068A" w:rsidRDefault="006F2F60" w:rsidP="0043732C">
            <w:pPr>
              <w:spacing w:before="60" w:after="60" w:line="240" w:lineRule="auto"/>
              <w:jc w:val="both"/>
              <w:rPr>
                <w:rFonts w:eastAsia="Times New Roman" w:cs="Times New Roman"/>
                <w:color w:val="000000"/>
                <w:sz w:val="20"/>
                <w:szCs w:val="20"/>
                <w:lang w:eastAsia="lv-LV"/>
              </w:rPr>
            </w:pPr>
            <w:r w:rsidRPr="00B2068A">
              <w:rPr>
                <w:rFonts w:eastAsia="Times New Roman" w:cs="Times New Roman"/>
                <w:color w:val="000000"/>
                <w:sz w:val="20"/>
                <w:szCs w:val="20"/>
                <w:lang w:eastAsia="lv-LV"/>
              </w:rPr>
              <w:t>2</w:t>
            </w:r>
          </w:p>
        </w:tc>
        <w:tc>
          <w:tcPr>
            <w:tcW w:w="1060" w:type="dxa"/>
            <w:shd w:val="clear" w:color="auto" w:fill="FFFFFF"/>
          </w:tcPr>
          <w:p w:rsidR="00B3043B"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917,4–919,4 MHz</w:t>
            </w:r>
            <w:r w:rsidR="00A40EFB" w:rsidRPr="00F3198C">
              <w:rPr>
                <w:sz w:val="24"/>
                <w:szCs w:val="24"/>
                <w:vertAlign w:val="superscript"/>
              </w:rPr>
              <w:t>9</w:t>
            </w:r>
          </w:p>
        </w:tc>
        <w:tc>
          <w:tcPr>
            <w:tcW w:w="1349" w:type="dxa"/>
            <w:shd w:val="clear" w:color="auto" w:fill="FFFFFF"/>
          </w:tcPr>
          <w:p w:rsidR="00B3043B" w:rsidRPr="00B2068A" w:rsidRDefault="00EC797B" w:rsidP="0043732C">
            <w:pPr>
              <w:spacing w:before="60" w:after="60" w:line="240" w:lineRule="auto"/>
              <w:ind w:left="63"/>
              <w:jc w:val="both"/>
              <w:rPr>
                <w:rFonts w:eastAsia="Times New Roman" w:cs="Times New Roman"/>
                <w:color w:val="000000"/>
                <w:sz w:val="20"/>
                <w:szCs w:val="20"/>
                <w:lang w:eastAsia="lv-LV"/>
              </w:rPr>
            </w:pPr>
            <w:r w:rsidRPr="00B2068A">
              <w:rPr>
                <w:sz w:val="20"/>
                <w:szCs w:val="20"/>
              </w:rPr>
              <w:t>Platjoslas datu pārraides ierīces</w:t>
            </w:r>
            <w:r w:rsidR="00A40EFB" w:rsidRPr="00F3198C">
              <w:rPr>
                <w:sz w:val="24"/>
                <w:szCs w:val="24"/>
                <w:vertAlign w:val="superscript"/>
              </w:rPr>
              <w:t>3</w:t>
            </w:r>
          </w:p>
        </w:tc>
        <w:tc>
          <w:tcPr>
            <w:tcW w:w="2126" w:type="dxa"/>
            <w:shd w:val="clear" w:color="auto" w:fill="FFFFFF"/>
          </w:tcPr>
          <w:p w:rsidR="00B3043B"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25 mW e.r.p.</w:t>
            </w:r>
          </w:p>
        </w:tc>
        <w:tc>
          <w:tcPr>
            <w:tcW w:w="2127" w:type="dxa"/>
            <w:shd w:val="clear" w:color="auto" w:fill="FFFFFF"/>
          </w:tcPr>
          <w:p w:rsidR="00B3043B"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Joslas platums ≤ 1 MHz. Darbības cikls ≤ 10 % tīkla piekļuves punktiem(4). Darbības cikls ≤ 2,8 % citām.</w:t>
            </w:r>
          </w:p>
        </w:tc>
        <w:tc>
          <w:tcPr>
            <w:tcW w:w="1798" w:type="dxa"/>
            <w:shd w:val="clear" w:color="auto" w:fill="FFFFFF"/>
          </w:tcPr>
          <w:p w:rsidR="00B3043B"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Šis izmantošanas nosacījumu kopums attiecas tikai uz platjoslas maza darbības attāluma ierīcēm datu tīklos. Visas ierīces datu tīklā darbojas tīkla piekļuves punktu vadībā</w:t>
            </w:r>
            <w:r w:rsidR="00A40EFB">
              <w:rPr>
                <w:sz w:val="20"/>
                <w:szCs w:val="20"/>
              </w:rPr>
              <w:t xml:space="preserve"> </w:t>
            </w:r>
            <w:r w:rsidRPr="00F3198C">
              <w:rPr>
                <w:sz w:val="24"/>
                <w:szCs w:val="24"/>
                <w:vertAlign w:val="superscript"/>
              </w:rPr>
              <w:t>4</w:t>
            </w:r>
            <w:r w:rsidR="00A40EFB" w:rsidRPr="00F3198C">
              <w:rPr>
                <w:sz w:val="24"/>
                <w:szCs w:val="24"/>
                <w:vertAlign w:val="superscript"/>
              </w:rPr>
              <w:t>,</w:t>
            </w:r>
            <w:r w:rsidRPr="00F3198C">
              <w:rPr>
                <w:sz w:val="24"/>
                <w:szCs w:val="24"/>
                <w:vertAlign w:val="superscript"/>
              </w:rPr>
              <w:t>5</w:t>
            </w:r>
            <w:r w:rsidR="00A40EFB" w:rsidRPr="00F3198C">
              <w:rPr>
                <w:sz w:val="24"/>
                <w:szCs w:val="24"/>
                <w:vertAlign w:val="superscript"/>
              </w:rPr>
              <w:t>,</w:t>
            </w:r>
            <w:r w:rsidRPr="00F3198C">
              <w:rPr>
                <w:sz w:val="24"/>
                <w:szCs w:val="24"/>
                <w:vertAlign w:val="superscript"/>
              </w:rPr>
              <w:t>6</w:t>
            </w:r>
          </w:p>
        </w:tc>
      </w:tr>
      <w:tr w:rsidR="006F2F60" w:rsidRPr="00B2068A" w:rsidTr="00B3043B">
        <w:trPr>
          <w:tblCellSpacing w:w="0" w:type="dxa"/>
        </w:trPr>
        <w:tc>
          <w:tcPr>
            <w:tcW w:w="710" w:type="dxa"/>
            <w:shd w:val="clear" w:color="auto" w:fill="FFFFFF"/>
          </w:tcPr>
          <w:p w:rsidR="006F2F60" w:rsidRPr="00B2068A" w:rsidRDefault="006F2F60" w:rsidP="0043732C">
            <w:pPr>
              <w:spacing w:before="60" w:after="60" w:line="240" w:lineRule="auto"/>
              <w:jc w:val="both"/>
              <w:rPr>
                <w:rFonts w:eastAsia="Times New Roman" w:cs="Times New Roman"/>
                <w:color w:val="000000"/>
                <w:sz w:val="20"/>
                <w:szCs w:val="20"/>
                <w:lang w:eastAsia="lv-LV"/>
              </w:rPr>
            </w:pPr>
            <w:r w:rsidRPr="00B2068A">
              <w:rPr>
                <w:rFonts w:eastAsia="Times New Roman" w:cs="Times New Roman"/>
                <w:color w:val="000000"/>
                <w:sz w:val="20"/>
                <w:szCs w:val="20"/>
                <w:lang w:eastAsia="lv-LV"/>
              </w:rPr>
              <w:t>3</w:t>
            </w:r>
          </w:p>
        </w:tc>
        <w:tc>
          <w:tcPr>
            <w:tcW w:w="1060" w:type="dxa"/>
            <w:shd w:val="clear" w:color="auto" w:fill="FFFFFF"/>
          </w:tcPr>
          <w:p w:rsidR="006F2F60"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916,1–918,9 MHz</w:t>
            </w:r>
            <w:r w:rsidR="00A40EFB" w:rsidRPr="00F3198C">
              <w:rPr>
                <w:sz w:val="24"/>
                <w:szCs w:val="24"/>
                <w:vertAlign w:val="superscript"/>
              </w:rPr>
              <w:t>10</w:t>
            </w:r>
          </w:p>
        </w:tc>
        <w:tc>
          <w:tcPr>
            <w:tcW w:w="1349" w:type="dxa"/>
            <w:shd w:val="clear" w:color="auto" w:fill="FFFFFF"/>
          </w:tcPr>
          <w:p w:rsidR="006F2F60" w:rsidRPr="00B2068A" w:rsidRDefault="00EC797B" w:rsidP="0043732C">
            <w:pPr>
              <w:spacing w:before="60" w:after="60" w:line="240" w:lineRule="auto"/>
              <w:ind w:left="63"/>
              <w:jc w:val="both"/>
              <w:rPr>
                <w:rFonts w:eastAsia="Times New Roman" w:cs="Times New Roman"/>
                <w:color w:val="000000"/>
                <w:sz w:val="20"/>
                <w:szCs w:val="20"/>
                <w:lang w:eastAsia="lv-LV"/>
              </w:rPr>
            </w:pPr>
            <w:r w:rsidRPr="00B2068A">
              <w:rPr>
                <w:sz w:val="20"/>
                <w:szCs w:val="20"/>
              </w:rPr>
              <w:t>Radioidentifikācijas (</w:t>
            </w:r>
            <w:r w:rsidRPr="00B2068A">
              <w:rPr>
                <w:i/>
                <w:iCs/>
                <w:sz w:val="20"/>
                <w:szCs w:val="20"/>
              </w:rPr>
              <w:t>RFID</w:t>
            </w:r>
            <w:r w:rsidRPr="00B2068A">
              <w:rPr>
                <w:sz w:val="20"/>
                <w:szCs w:val="20"/>
              </w:rPr>
              <w:t>) ierīces</w:t>
            </w:r>
            <w:r w:rsidR="00A40EFB" w:rsidRPr="00F3198C">
              <w:rPr>
                <w:sz w:val="24"/>
                <w:szCs w:val="24"/>
                <w:vertAlign w:val="superscript"/>
              </w:rPr>
              <w:t>2</w:t>
            </w:r>
          </w:p>
        </w:tc>
        <w:tc>
          <w:tcPr>
            <w:tcW w:w="2126" w:type="dxa"/>
            <w:shd w:val="clear" w:color="auto" w:fill="FFFFFF"/>
          </w:tcPr>
          <w:p w:rsidR="006F2F60"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 xml:space="preserve">Nolasītāja pārraide ar 4 W e.r. p. atļauta tikai 916,3 MHz, 917,5 MHz </w:t>
            </w:r>
            <w:r w:rsidRPr="00B2068A">
              <w:rPr>
                <w:sz w:val="20"/>
                <w:szCs w:val="20"/>
              </w:rPr>
              <w:lastRenderedPageBreak/>
              <w:t>un 918,7 MHz centrālajās frekvencēs</w:t>
            </w:r>
          </w:p>
        </w:tc>
        <w:tc>
          <w:tcPr>
            <w:tcW w:w="2127" w:type="dxa"/>
            <w:shd w:val="clear" w:color="auto" w:fill="FFFFFF"/>
          </w:tcPr>
          <w:p w:rsidR="006F2F60"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lastRenderedPageBreak/>
              <w:t>Joslas platums ≤ 400 kHz</w:t>
            </w:r>
          </w:p>
        </w:tc>
        <w:tc>
          <w:tcPr>
            <w:tcW w:w="1798" w:type="dxa"/>
            <w:shd w:val="clear" w:color="auto" w:fill="FFFFFF"/>
          </w:tcPr>
          <w:p w:rsidR="006F2F60" w:rsidRPr="00A40EFB" w:rsidRDefault="00A40EFB" w:rsidP="0043732C">
            <w:pPr>
              <w:spacing w:before="60" w:after="60" w:line="240" w:lineRule="auto"/>
              <w:ind w:left="131"/>
              <w:jc w:val="both"/>
              <w:rPr>
                <w:rFonts w:eastAsia="Times New Roman" w:cs="Times New Roman"/>
                <w:color w:val="000000"/>
                <w:sz w:val="20"/>
                <w:szCs w:val="20"/>
                <w:vertAlign w:val="superscript"/>
                <w:lang w:eastAsia="lv-LV"/>
              </w:rPr>
            </w:pPr>
            <w:r>
              <w:rPr>
                <w:sz w:val="20"/>
                <w:szCs w:val="20"/>
              </w:rPr>
              <w:t xml:space="preserve">Izmantošanas ierobežojumi </w:t>
            </w:r>
            <w:r w:rsidR="00EC797B" w:rsidRPr="00F3198C">
              <w:rPr>
                <w:sz w:val="24"/>
                <w:szCs w:val="24"/>
                <w:vertAlign w:val="superscript"/>
              </w:rPr>
              <w:t>5</w:t>
            </w:r>
            <w:r w:rsidRPr="00F3198C">
              <w:rPr>
                <w:sz w:val="24"/>
                <w:szCs w:val="24"/>
                <w:vertAlign w:val="superscript"/>
              </w:rPr>
              <w:t>,</w:t>
            </w:r>
            <w:r w:rsidR="00EC797B" w:rsidRPr="00F3198C">
              <w:rPr>
                <w:sz w:val="24"/>
                <w:szCs w:val="24"/>
                <w:vertAlign w:val="superscript"/>
              </w:rPr>
              <w:t>6</w:t>
            </w:r>
            <w:r w:rsidRPr="00F3198C">
              <w:rPr>
                <w:sz w:val="24"/>
                <w:szCs w:val="24"/>
                <w:vertAlign w:val="superscript"/>
              </w:rPr>
              <w:t>,</w:t>
            </w:r>
            <w:r w:rsidR="00EC797B" w:rsidRPr="00F3198C">
              <w:rPr>
                <w:sz w:val="24"/>
                <w:szCs w:val="24"/>
                <w:vertAlign w:val="superscript"/>
              </w:rPr>
              <w:t>7</w:t>
            </w:r>
          </w:p>
        </w:tc>
      </w:tr>
      <w:tr w:rsidR="006F2F60" w:rsidRPr="00B2068A" w:rsidTr="00B3043B">
        <w:trPr>
          <w:tblCellSpacing w:w="0" w:type="dxa"/>
        </w:trPr>
        <w:tc>
          <w:tcPr>
            <w:tcW w:w="710" w:type="dxa"/>
            <w:shd w:val="clear" w:color="auto" w:fill="FFFFFF"/>
          </w:tcPr>
          <w:p w:rsidR="006F2F60" w:rsidRPr="00B2068A" w:rsidRDefault="006F2F60" w:rsidP="0043732C">
            <w:pPr>
              <w:spacing w:before="60" w:after="60" w:line="240" w:lineRule="auto"/>
              <w:jc w:val="both"/>
              <w:rPr>
                <w:rFonts w:eastAsia="Times New Roman" w:cs="Times New Roman"/>
                <w:color w:val="000000"/>
                <w:sz w:val="20"/>
                <w:szCs w:val="20"/>
                <w:lang w:eastAsia="lv-LV"/>
              </w:rPr>
            </w:pPr>
            <w:r w:rsidRPr="00B2068A">
              <w:rPr>
                <w:rFonts w:eastAsia="Times New Roman" w:cs="Times New Roman"/>
                <w:color w:val="000000"/>
                <w:sz w:val="20"/>
                <w:szCs w:val="20"/>
                <w:lang w:eastAsia="lv-LV"/>
              </w:rPr>
              <w:t>4</w:t>
            </w:r>
          </w:p>
        </w:tc>
        <w:tc>
          <w:tcPr>
            <w:tcW w:w="1060" w:type="dxa"/>
            <w:shd w:val="clear" w:color="auto" w:fill="FFFFFF"/>
          </w:tcPr>
          <w:p w:rsidR="006F2F60"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917,3–918,9 MHz</w:t>
            </w:r>
          </w:p>
        </w:tc>
        <w:tc>
          <w:tcPr>
            <w:tcW w:w="1349" w:type="dxa"/>
            <w:shd w:val="clear" w:color="auto" w:fill="FFFFFF"/>
          </w:tcPr>
          <w:p w:rsidR="006F2F60" w:rsidRPr="00B2068A" w:rsidRDefault="00EC797B" w:rsidP="0043732C">
            <w:pPr>
              <w:spacing w:before="60" w:after="60" w:line="240" w:lineRule="auto"/>
              <w:ind w:left="63"/>
              <w:jc w:val="both"/>
              <w:rPr>
                <w:rFonts w:eastAsia="Times New Roman" w:cs="Times New Roman"/>
                <w:color w:val="000000"/>
                <w:sz w:val="20"/>
                <w:szCs w:val="20"/>
                <w:lang w:eastAsia="lv-LV"/>
              </w:rPr>
            </w:pPr>
            <w:r w:rsidRPr="00B2068A">
              <w:rPr>
                <w:sz w:val="20"/>
                <w:szCs w:val="20"/>
              </w:rPr>
              <w:t>Nespecifiskas maza darbības attāluma ierīces</w:t>
            </w:r>
            <w:r w:rsidR="00A40EFB" w:rsidRPr="00F3198C">
              <w:rPr>
                <w:sz w:val="24"/>
                <w:szCs w:val="24"/>
                <w:vertAlign w:val="superscript"/>
              </w:rPr>
              <w:t>1</w:t>
            </w:r>
          </w:p>
        </w:tc>
        <w:tc>
          <w:tcPr>
            <w:tcW w:w="2126" w:type="dxa"/>
            <w:shd w:val="clear" w:color="auto" w:fill="FFFFFF"/>
          </w:tcPr>
          <w:p w:rsidR="006F2F60"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500 mW e.r.p. Pārraide atļauta tikai 917,3– 917,7 MHz un 918,5– 918,9 MHz frekvenču joslās. Vajadzīga adaptīvā jaudas kontrole (</w:t>
            </w:r>
            <w:r w:rsidRPr="00B2068A">
              <w:rPr>
                <w:i/>
                <w:iCs/>
                <w:sz w:val="20"/>
                <w:szCs w:val="20"/>
              </w:rPr>
              <w:t>APC</w:t>
            </w:r>
            <w:r w:rsidRPr="00B2068A">
              <w:rPr>
                <w:sz w:val="20"/>
                <w:szCs w:val="20"/>
              </w:rPr>
              <w:t>), alternatīvi – citi traucējumu mazināšanas paņēmieni, kas panāk vismaz tikpat augstu saderību ar spektru</w:t>
            </w:r>
          </w:p>
        </w:tc>
        <w:tc>
          <w:tcPr>
            <w:tcW w:w="2127" w:type="dxa"/>
            <w:shd w:val="clear" w:color="auto" w:fill="FFFFFF"/>
          </w:tcPr>
          <w:p w:rsidR="006F2F60"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Joslas platums ≤ 200 kHz. Darbības cikls ≤ 10 % tīkla piekļuves punktiem(4). Darbības cikls ≤ 2,5 % citos gadījumos</w:t>
            </w:r>
          </w:p>
        </w:tc>
        <w:tc>
          <w:tcPr>
            <w:tcW w:w="1798" w:type="dxa"/>
            <w:shd w:val="clear" w:color="auto" w:fill="FFFFFF"/>
          </w:tcPr>
          <w:p w:rsidR="006F2F60"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Šis izmantošanas nosacījumu kopums attiecas tikai uz datu tīkliem. Visas ierīces datu tīklā darboja</w:t>
            </w:r>
            <w:r w:rsidR="00A40EFB">
              <w:rPr>
                <w:sz w:val="20"/>
                <w:szCs w:val="20"/>
              </w:rPr>
              <w:t>s tīkla piekļuves punktu vadībā</w:t>
            </w:r>
            <w:r w:rsidR="007C1C5A">
              <w:rPr>
                <w:sz w:val="20"/>
                <w:szCs w:val="20"/>
              </w:rPr>
              <w:t xml:space="preserve"> </w:t>
            </w:r>
            <w:r w:rsidRPr="00F3198C">
              <w:rPr>
                <w:sz w:val="24"/>
                <w:szCs w:val="24"/>
                <w:vertAlign w:val="superscript"/>
              </w:rPr>
              <w:t>4</w:t>
            </w:r>
            <w:r w:rsidR="00A40EFB" w:rsidRPr="00F3198C">
              <w:rPr>
                <w:sz w:val="24"/>
                <w:szCs w:val="24"/>
                <w:vertAlign w:val="superscript"/>
              </w:rPr>
              <w:t>,</w:t>
            </w:r>
            <w:r w:rsidRPr="00F3198C">
              <w:rPr>
                <w:sz w:val="24"/>
                <w:szCs w:val="24"/>
                <w:vertAlign w:val="superscript"/>
              </w:rPr>
              <w:t>5</w:t>
            </w:r>
            <w:r w:rsidR="00A40EFB" w:rsidRPr="00F3198C">
              <w:rPr>
                <w:sz w:val="24"/>
                <w:szCs w:val="24"/>
                <w:vertAlign w:val="superscript"/>
              </w:rPr>
              <w:t>,</w:t>
            </w:r>
            <w:r w:rsidRPr="00F3198C">
              <w:rPr>
                <w:sz w:val="24"/>
                <w:szCs w:val="24"/>
                <w:vertAlign w:val="superscript"/>
              </w:rPr>
              <w:t>6</w:t>
            </w:r>
            <w:r w:rsidR="00A40EFB" w:rsidRPr="00F3198C">
              <w:rPr>
                <w:sz w:val="24"/>
                <w:szCs w:val="24"/>
                <w:vertAlign w:val="superscript"/>
              </w:rPr>
              <w:t>,</w:t>
            </w:r>
            <w:r w:rsidRPr="00F3198C">
              <w:rPr>
                <w:sz w:val="24"/>
                <w:szCs w:val="24"/>
                <w:vertAlign w:val="superscript"/>
              </w:rPr>
              <w:t>7</w:t>
            </w:r>
          </w:p>
        </w:tc>
      </w:tr>
      <w:tr w:rsidR="006F2F60" w:rsidRPr="00B2068A" w:rsidTr="00B3043B">
        <w:trPr>
          <w:tblCellSpacing w:w="0" w:type="dxa"/>
        </w:trPr>
        <w:tc>
          <w:tcPr>
            <w:tcW w:w="710" w:type="dxa"/>
            <w:shd w:val="clear" w:color="auto" w:fill="FFFFFF"/>
          </w:tcPr>
          <w:p w:rsidR="006F2F60" w:rsidRPr="00B2068A" w:rsidRDefault="006F2F60" w:rsidP="0043732C">
            <w:pPr>
              <w:spacing w:before="60" w:after="60" w:line="240" w:lineRule="auto"/>
              <w:jc w:val="both"/>
              <w:rPr>
                <w:rFonts w:eastAsia="Times New Roman" w:cs="Times New Roman"/>
                <w:color w:val="000000"/>
                <w:sz w:val="20"/>
                <w:szCs w:val="20"/>
                <w:lang w:eastAsia="lv-LV"/>
              </w:rPr>
            </w:pPr>
            <w:r w:rsidRPr="00B2068A">
              <w:rPr>
                <w:rFonts w:eastAsia="Times New Roman" w:cs="Times New Roman"/>
                <w:color w:val="000000"/>
                <w:sz w:val="20"/>
                <w:szCs w:val="20"/>
                <w:lang w:eastAsia="lv-LV"/>
              </w:rPr>
              <w:t>5</w:t>
            </w:r>
          </w:p>
        </w:tc>
        <w:tc>
          <w:tcPr>
            <w:tcW w:w="1060" w:type="dxa"/>
            <w:shd w:val="clear" w:color="auto" w:fill="FFFFFF"/>
          </w:tcPr>
          <w:p w:rsidR="006F2F60"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917,4–919,4 MHz</w:t>
            </w:r>
            <w:r w:rsidR="00A40EFB" w:rsidRPr="00F3198C">
              <w:rPr>
                <w:sz w:val="24"/>
                <w:szCs w:val="24"/>
                <w:vertAlign w:val="superscript"/>
              </w:rPr>
              <w:t>9</w:t>
            </w:r>
          </w:p>
        </w:tc>
        <w:tc>
          <w:tcPr>
            <w:tcW w:w="1349" w:type="dxa"/>
            <w:shd w:val="clear" w:color="auto" w:fill="FFFFFF"/>
          </w:tcPr>
          <w:p w:rsidR="006F2F60" w:rsidRPr="00B2068A" w:rsidRDefault="00EC797B" w:rsidP="0043732C">
            <w:pPr>
              <w:spacing w:before="60" w:after="60" w:line="240" w:lineRule="auto"/>
              <w:ind w:left="63"/>
              <w:jc w:val="both"/>
              <w:rPr>
                <w:rFonts w:eastAsia="Times New Roman" w:cs="Times New Roman"/>
                <w:color w:val="000000"/>
                <w:sz w:val="20"/>
                <w:szCs w:val="20"/>
                <w:lang w:eastAsia="lv-LV"/>
              </w:rPr>
            </w:pPr>
            <w:r w:rsidRPr="00B2068A">
              <w:rPr>
                <w:sz w:val="20"/>
                <w:szCs w:val="20"/>
              </w:rPr>
              <w:t>Nespecifiskas maza darbības attāluma ierīces</w:t>
            </w:r>
            <w:r w:rsidR="00A40EFB" w:rsidRPr="00A40EFB">
              <w:rPr>
                <w:sz w:val="20"/>
                <w:szCs w:val="20"/>
                <w:vertAlign w:val="superscript"/>
              </w:rPr>
              <w:t>1</w:t>
            </w:r>
          </w:p>
        </w:tc>
        <w:tc>
          <w:tcPr>
            <w:tcW w:w="2126" w:type="dxa"/>
            <w:shd w:val="clear" w:color="auto" w:fill="FFFFFF"/>
          </w:tcPr>
          <w:p w:rsidR="006F2F60" w:rsidRPr="00B2068A" w:rsidRDefault="00EC797B" w:rsidP="0043732C">
            <w:pPr>
              <w:spacing w:before="60" w:after="60" w:line="240" w:lineRule="auto"/>
              <w:jc w:val="both"/>
              <w:rPr>
                <w:rFonts w:eastAsia="Times New Roman" w:cs="Times New Roman"/>
                <w:color w:val="000000"/>
                <w:sz w:val="20"/>
                <w:szCs w:val="20"/>
                <w:lang w:eastAsia="lv-LV"/>
              </w:rPr>
            </w:pPr>
            <w:r w:rsidRPr="00B2068A">
              <w:rPr>
                <w:sz w:val="20"/>
                <w:szCs w:val="20"/>
              </w:rPr>
              <w:t>25 mW e.r.p.</w:t>
            </w:r>
          </w:p>
        </w:tc>
        <w:tc>
          <w:tcPr>
            <w:tcW w:w="2127" w:type="dxa"/>
            <w:shd w:val="clear" w:color="auto" w:fill="FFFFFF"/>
          </w:tcPr>
          <w:p w:rsidR="006F2F60" w:rsidRPr="00B2068A" w:rsidRDefault="00EC797B" w:rsidP="0043732C">
            <w:pPr>
              <w:spacing w:before="60" w:after="60" w:line="240" w:lineRule="auto"/>
              <w:ind w:left="132"/>
              <w:jc w:val="both"/>
              <w:rPr>
                <w:rFonts w:eastAsia="Times New Roman" w:cs="Times New Roman"/>
                <w:color w:val="000000"/>
                <w:sz w:val="20"/>
                <w:szCs w:val="20"/>
                <w:lang w:eastAsia="lv-LV"/>
              </w:rPr>
            </w:pPr>
            <w:r w:rsidRPr="00B2068A">
              <w:rPr>
                <w:sz w:val="20"/>
                <w:szCs w:val="20"/>
              </w:rPr>
              <w:t>Joslas platums ≤ 600 kHz. Darbības cikls ≤ 1 %</w:t>
            </w:r>
          </w:p>
        </w:tc>
        <w:tc>
          <w:tcPr>
            <w:tcW w:w="1798" w:type="dxa"/>
            <w:shd w:val="clear" w:color="auto" w:fill="FFFFFF"/>
          </w:tcPr>
          <w:p w:rsidR="006F2F60" w:rsidRPr="00B2068A" w:rsidRDefault="00EC797B" w:rsidP="0043732C">
            <w:pPr>
              <w:spacing w:before="60" w:after="60" w:line="240" w:lineRule="auto"/>
              <w:ind w:left="131"/>
              <w:jc w:val="both"/>
              <w:rPr>
                <w:rFonts w:eastAsia="Times New Roman" w:cs="Times New Roman"/>
                <w:color w:val="000000"/>
                <w:sz w:val="20"/>
                <w:szCs w:val="20"/>
                <w:lang w:eastAsia="lv-LV"/>
              </w:rPr>
            </w:pPr>
            <w:r w:rsidRPr="00B2068A">
              <w:rPr>
                <w:sz w:val="20"/>
                <w:szCs w:val="20"/>
              </w:rPr>
              <w:t>Šis izmantošanas nosacījumu kopums attiecas tikai uz maza darbības attāluma ierīcēm datu tīklos. Visas ierīces datu tīklā darbojas tīkla piekļuves punktu vadībā</w:t>
            </w:r>
            <w:r w:rsidR="007C1C5A">
              <w:rPr>
                <w:sz w:val="20"/>
                <w:szCs w:val="20"/>
              </w:rPr>
              <w:t xml:space="preserve"> </w:t>
            </w:r>
            <w:r w:rsidRPr="00F3198C">
              <w:rPr>
                <w:sz w:val="24"/>
                <w:szCs w:val="24"/>
                <w:vertAlign w:val="superscript"/>
              </w:rPr>
              <w:t>4</w:t>
            </w:r>
            <w:r w:rsidR="00A40EFB" w:rsidRPr="00F3198C">
              <w:rPr>
                <w:sz w:val="24"/>
                <w:szCs w:val="24"/>
                <w:vertAlign w:val="superscript"/>
              </w:rPr>
              <w:t>,</w:t>
            </w:r>
            <w:r w:rsidRPr="00F3198C">
              <w:rPr>
                <w:sz w:val="24"/>
                <w:szCs w:val="24"/>
                <w:vertAlign w:val="superscript"/>
              </w:rPr>
              <w:t>5</w:t>
            </w:r>
            <w:r w:rsidR="00A40EFB" w:rsidRPr="00F3198C">
              <w:rPr>
                <w:sz w:val="24"/>
                <w:szCs w:val="24"/>
                <w:vertAlign w:val="superscript"/>
              </w:rPr>
              <w:t>,</w:t>
            </w:r>
            <w:r w:rsidRPr="00F3198C">
              <w:rPr>
                <w:sz w:val="24"/>
                <w:szCs w:val="24"/>
                <w:vertAlign w:val="superscript"/>
              </w:rPr>
              <w:t>6</w:t>
            </w:r>
          </w:p>
        </w:tc>
      </w:tr>
    </w:tbl>
    <w:p w:rsidR="00EB0050" w:rsidRDefault="00EB0050" w:rsidP="0043732C">
      <w:pPr>
        <w:jc w:val="both"/>
        <w:rPr>
          <w:rFonts w:cs="Times New Roman"/>
          <w:bCs/>
          <w:sz w:val="24"/>
          <w:szCs w:val="24"/>
        </w:rPr>
      </w:pPr>
    </w:p>
    <w:p w:rsidR="002D33E2" w:rsidRDefault="002D33E2" w:rsidP="0043732C">
      <w:pPr>
        <w:jc w:val="both"/>
        <w:rPr>
          <w:rFonts w:cs="Times New Roman"/>
          <w:bCs/>
          <w:sz w:val="24"/>
          <w:szCs w:val="24"/>
        </w:rPr>
      </w:pPr>
      <w:r w:rsidRPr="002D33E2">
        <w:rPr>
          <w:rFonts w:cs="Times New Roman"/>
          <w:bCs/>
          <w:sz w:val="24"/>
          <w:szCs w:val="24"/>
        </w:rPr>
        <w:t>Piezīmes</w:t>
      </w:r>
    </w:p>
    <w:p w:rsidR="00EA7BA5" w:rsidRDefault="00EA7BA5" w:rsidP="0043732C">
      <w:pPr>
        <w:jc w:val="both"/>
        <w:rPr>
          <w:rFonts w:cs="Times New Roman"/>
          <w:bCs/>
          <w:sz w:val="24"/>
          <w:szCs w:val="24"/>
        </w:rPr>
      </w:pPr>
      <w:r w:rsidRPr="00424A96">
        <w:rPr>
          <w:rFonts w:eastAsia="Times New Roman" w:cs="Times New Roman"/>
          <w:sz w:val="24"/>
          <w:szCs w:val="24"/>
          <w:lang w:eastAsia="lv-LV"/>
        </w:rPr>
        <w:t>Darbības cikls</w:t>
      </w:r>
      <w:r>
        <w:rPr>
          <w:rFonts w:eastAsia="Times New Roman" w:cs="Times New Roman"/>
          <w:sz w:val="24"/>
          <w:szCs w:val="24"/>
          <w:lang w:eastAsia="lv-LV"/>
        </w:rPr>
        <w:t xml:space="preserve"> - nozīmē</w:t>
      </w:r>
      <w:r w:rsidRPr="00424A96">
        <w:rPr>
          <w:rFonts w:eastAsia="Times New Roman" w:cs="Times New Roman"/>
          <w:sz w:val="24"/>
          <w:szCs w:val="24"/>
          <w:lang w:eastAsia="lv-LV"/>
        </w:rPr>
        <w:t xml:space="preserve"> Σ(Ton)/(Tobs) attiecība procentos, kur Ton ir atsevišķa raidītāja laiks, kad tas ir “Ieslēgts”, un Tobs ir novērošanas periods. Ton mēra novērojamajā frekvenču joslā (Fobs). Ja šajā tehniskajā pielikumā nav noteikts citādi, Tobs ir viena stunda bez pārtraukuma un Fobs ir šajā tehniskajā pielikumā piemērojamā frekvenču josla.</w:t>
      </w:r>
    </w:p>
    <w:p w:rsidR="0025289E" w:rsidRPr="00424A96" w:rsidRDefault="0025289E" w:rsidP="00222204">
      <w:pPr>
        <w:spacing w:after="120"/>
        <w:jc w:val="both"/>
        <w:rPr>
          <w:rFonts w:cs="Times New Roman"/>
          <w:sz w:val="24"/>
          <w:szCs w:val="24"/>
        </w:rPr>
      </w:pPr>
      <w:r w:rsidRPr="00424A96">
        <w:rPr>
          <w:rFonts w:cs="Times New Roman"/>
          <w:sz w:val="24"/>
          <w:szCs w:val="24"/>
          <w:vertAlign w:val="superscript"/>
        </w:rPr>
        <w:t>1</w:t>
      </w:r>
      <w:r w:rsidRPr="00424A96">
        <w:rPr>
          <w:rFonts w:cs="Times New Roman"/>
          <w:sz w:val="24"/>
          <w:szCs w:val="24"/>
        </w:rPr>
        <w:t xml:space="preserve"> Nespecifisko maza darbības attāluma ierīču kategorija neatkarīgi no lietojuma vai mērķa aptver visu veidu radioierīces, kas atbilst tehniskajiem nosacījumiem, kuri noteikti attiecīgajai frekvenču joslai. Tipiski lietojumi ir telemetrija, tālvadība, signalizācija, datu pārraide vispār un citi lietojumi.</w:t>
      </w:r>
    </w:p>
    <w:p w:rsidR="0025289E" w:rsidRPr="00424A96" w:rsidRDefault="0025289E">
      <w:pPr>
        <w:spacing w:after="120"/>
        <w:jc w:val="both"/>
        <w:rPr>
          <w:rFonts w:cs="Times New Roman"/>
          <w:sz w:val="24"/>
          <w:szCs w:val="24"/>
        </w:rPr>
      </w:pPr>
      <w:r w:rsidRPr="00424A96">
        <w:rPr>
          <w:rFonts w:cs="Times New Roman"/>
          <w:sz w:val="24"/>
          <w:szCs w:val="24"/>
        </w:rPr>
        <w:t xml:space="preserve"> </w:t>
      </w:r>
      <w:r w:rsidRPr="00424A96">
        <w:rPr>
          <w:rFonts w:cs="Times New Roman"/>
          <w:sz w:val="24"/>
          <w:szCs w:val="24"/>
          <w:vertAlign w:val="superscript"/>
        </w:rPr>
        <w:t>2</w:t>
      </w:r>
      <w:r w:rsidRPr="00424A96">
        <w:rPr>
          <w:rFonts w:cs="Times New Roman"/>
          <w:sz w:val="24"/>
          <w:szCs w:val="24"/>
        </w:rPr>
        <w:t xml:space="preserve"> Radioidentifikācijas (</w:t>
      </w:r>
      <w:r w:rsidRPr="00424A96">
        <w:rPr>
          <w:rFonts w:cs="Times New Roman"/>
          <w:i/>
          <w:iCs/>
          <w:sz w:val="24"/>
          <w:szCs w:val="24"/>
        </w:rPr>
        <w:t>RFID</w:t>
      </w:r>
      <w:r w:rsidRPr="00424A96">
        <w:rPr>
          <w:rFonts w:cs="Times New Roman"/>
          <w:sz w:val="24"/>
          <w:szCs w:val="24"/>
        </w:rPr>
        <w:t>) ierīču kategorijā ietilpst birkas un nolasītāja radiosakaru sistēmas, kas sastāv no radioierīcēm (birkām), kuras pieliktas dzīvām būtnēm vai priekšmetiem, un raiduztvērējiem (nolasītājiem), kas aktivizē birkas un saņem atpakaļ datus. Tipiski lietojumi ir objektu izsekošana un identifikācija, piemēram, elektroniskai preču uzraudzībai (</w:t>
      </w:r>
      <w:r w:rsidRPr="00424A96">
        <w:rPr>
          <w:rFonts w:cs="Times New Roman"/>
          <w:i/>
          <w:iCs/>
          <w:sz w:val="24"/>
          <w:szCs w:val="24"/>
        </w:rPr>
        <w:t>EAS</w:t>
      </w:r>
      <w:r w:rsidRPr="00424A96">
        <w:rPr>
          <w:rFonts w:cs="Times New Roman"/>
          <w:sz w:val="24"/>
          <w:szCs w:val="24"/>
        </w:rPr>
        <w:t xml:space="preserve">), un datu vākšana un pārraide sakarā ar vienumiem, kuriem ir pieliktas birkas, kas var būt bez baterijām vai bateriju atbalstītas vai darboties ar baterijām. Nolasītājs birkas atbildes izvērtē un nodod savai saimnieksistēmai. </w:t>
      </w:r>
    </w:p>
    <w:p w:rsidR="0025289E" w:rsidRPr="00424A96" w:rsidRDefault="0025289E">
      <w:pPr>
        <w:spacing w:after="120"/>
        <w:jc w:val="both"/>
        <w:rPr>
          <w:rFonts w:cs="Times New Roman"/>
          <w:sz w:val="24"/>
          <w:szCs w:val="24"/>
        </w:rPr>
      </w:pPr>
      <w:r w:rsidRPr="00424A96">
        <w:rPr>
          <w:rFonts w:cs="Times New Roman"/>
          <w:sz w:val="24"/>
          <w:szCs w:val="24"/>
          <w:vertAlign w:val="superscript"/>
        </w:rPr>
        <w:t>3</w:t>
      </w:r>
      <w:r w:rsidRPr="00424A96">
        <w:rPr>
          <w:rFonts w:cs="Times New Roman"/>
          <w:sz w:val="24"/>
          <w:szCs w:val="24"/>
        </w:rPr>
        <w:t xml:space="preserve"> Platjoslas datu pārraides ierīču kategorijā ietilpst radioierīces, kas piekļūšanai spektram izmanto platjoslas modulācijas paņēmienus. Tipiski lietojumi ir tādas bezvadu piekļuves sistēmas kā bezvadu lokālais tīkls (</w:t>
      </w:r>
      <w:r w:rsidRPr="00424A96">
        <w:rPr>
          <w:rFonts w:cs="Times New Roman"/>
          <w:i/>
          <w:iCs/>
          <w:sz w:val="24"/>
          <w:szCs w:val="24"/>
        </w:rPr>
        <w:t>WAS/RLAN</w:t>
      </w:r>
      <w:r w:rsidRPr="00424A96">
        <w:rPr>
          <w:rFonts w:cs="Times New Roman"/>
          <w:sz w:val="24"/>
          <w:szCs w:val="24"/>
        </w:rPr>
        <w:t xml:space="preserve">) vai platjoslas maza darbības attāluma ierīces datu tīklos. </w:t>
      </w:r>
    </w:p>
    <w:p w:rsidR="0025289E" w:rsidRPr="00424A96" w:rsidRDefault="0025289E">
      <w:pPr>
        <w:spacing w:after="120"/>
        <w:jc w:val="both"/>
        <w:rPr>
          <w:rFonts w:cs="Times New Roman"/>
          <w:sz w:val="24"/>
          <w:szCs w:val="24"/>
        </w:rPr>
      </w:pPr>
      <w:r w:rsidRPr="00424A96">
        <w:rPr>
          <w:rFonts w:cs="Times New Roman"/>
          <w:sz w:val="24"/>
          <w:szCs w:val="24"/>
          <w:vertAlign w:val="superscript"/>
        </w:rPr>
        <w:lastRenderedPageBreak/>
        <w:t>4</w:t>
      </w:r>
      <w:r w:rsidRPr="00424A96">
        <w:rPr>
          <w:rFonts w:cs="Times New Roman"/>
          <w:sz w:val="24"/>
          <w:szCs w:val="24"/>
        </w:rPr>
        <w:t xml:space="preserve"> Tīkla piekļuves punkts datu tīklā ir fiksēta zemes sakaru maza darbības attāluma ierīce, kas pārējām maza darbības attāluma ierīcēm datu tīklā ir savienojuma punkts ar pakalpojumu platformām, kuras atrodas ārpus minētā datu tīkla. Apzīmējums “datu tīkls” attiecas uz vairākām maza darbības attāluma ierīcēm, ieskaitot tīkla piekļuves punktu, kas ir tīkla komponenti, un uz to bezvadu savienojumiem. </w:t>
      </w:r>
    </w:p>
    <w:p w:rsidR="0025289E" w:rsidRPr="00424A96" w:rsidRDefault="0025289E">
      <w:pPr>
        <w:spacing w:after="120"/>
        <w:jc w:val="both"/>
        <w:rPr>
          <w:rFonts w:cs="Times New Roman"/>
          <w:sz w:val="24"/>
          <w:szCs w:val="24"/>
        </w:rPr>
      </w:pPr>
      <w:r w:rsidRPr="00424A96">
        <w:rPr>
          <w:rFonts w:cs="Times New Roman"/>
          <w:sz w:val="24"/>
          <w:szCs w:val="24"/>
          <w:vertAlign w:val="superscript"/>
        </w:rPr>
        <w:t>5</w:t>
      </w:r>
      <w:r w:rsidRPr="00424A96">
        <w:rPr>
          <w:rFonts w:cs="Times New Roman"/>
          <w:sz w:val="24"/>
          <w:szCs w:val="24"/>
        </w:rPr>
        <w:t xml:space="preserve"> Saskaņā ar Lēmuma 2018/1538 3. panta 1. punktu frekvenču joslas paredz un dara pieejamas neekskluzīvi un koplietošanas kārtā. Harmonizētajiem tehniskajiem nosacījumiem jādod iespēja maza darbības attāluma ierīcēm darboties saskaņā ar valsts tiesību aktiem atbilstošu vispārējas atļaujas piešķiršanas kārtību. Tas neskar Direktīvas 2002/20/EK 5. pantu, Direktīvas 2002/21/EK 9. panta 3. un 4. punktu, Direktīvas 2014/53/ES 7. pantu un Lēmuma 2018/1538 3. panta 2. punktu, dalībvalstis var ierobežot šā punkta izmantošanu tā, ka uzstādīšanu un ekspluatāciju veic tikai profesionāli lietotāji, un var apsvērt individuālu atļauju izmantošanu, piemēram, ģeogrāfiski dalītas koplietošanas un/vai traucējumu mazināšanas paņēmienu lietošanas administrēšanai, gādājot par radiodienestu aizsardzību. </w:t>
      </w:r>
    </w:p>
    <w:p w:rsidR="0025289E" w:rsidRPr="000B3EB2" w:rsidRDefault="0025289E">
      <w:pPr>
        <w:spacing w:after="120"/>
        <w:jc w:val="both"/>
        <w:rPr>
          <w:rFonts w:cs="Times New Roman"/>
          <w:sz w:val="24"/>
          <w:szCs w:val="24"/>
        </w:rPr>
      </w:pPr>
      <w:r w:rsidRPr="000B3EB2">
        <w:rPr>
          <w:rFonts w:cs="Times New Roman"/>
          <w:sz w:val="24"/>
          <w:szCs w:val="24"/>
          <w:vertAlign w:val="superscript"/>
        </w:rPr>
        <w:t xml:space="preserve">6 </w:t>
      </w:r>
      <w:r w:rsidRPr="000B3EB2">
        <w:rPr>
          <w:rFonts w:cs="Times New Roman"/>
          <w:sz w:val="24"/>
          <w:szCs w:val="24"/>
        </w:rPr>
        <w:t xml:space="preserve">Ja frekvences joslas daļas vai visa josla tiek izmantota sabiedriskās kārtības, sabiedriskās drošības nolūkos un aizsardzībai, un koordinācija nav iespējama, saskaņā ar Lēmuma 676/2002/EK 1. panta 4. punktu un 2018/1538 3. panta 2. punktu, izvirzītie nosacījumi var tikt daļēji vai pilnībā neīstenoti. </w:t>
      </w:r>
    </w:p>
    <w:p w:rsidR="0025289E" w:rsidRPr="00424A96" w:rsidRDefault="0025289E">
      <w:pPr>
        <w:spacing w:after="120"/>
        <w:jc w:val="both"/>
        <w:rPr>
          <w:rFonts w:cs="Times New Roman"/>
          <w:sz w:val="24"/>
          <w:szCs w:val="24"/>
        </w:rPr>
      </w:pPr>
      <w:r w:rsidRPr="000B3EB2">
        <w:rPr>
          <w:rFonts w:cs="Times New Roman"/>
          <w:sz w:val="24"/>
          <w:szCs w:val="24"/>
          <w:vertAlign w:val="superscript"/>
        </w:rPr>
        <w:t>7</w:t>
      </w:r>
      <w:r w:rsidRPr="000B3EB2">
        <w:rPr>
          <w:rFonts w:cs="Times New Roman"/>
          <w:sz w:val="24"/>
          <w:szCs w:val="24"/>
        </w:rPr>
        <w:t xml:space="preserve"> Var tikt noteikti kritēriji un koordinācija, lai nepieļautu traucējumus radiosakaru dienestiem blakusjoslās, piemēram, intermodulācijas vai bloķēšanas</w:t>
      </w:r>
      <w:r w:rsidRPr="00424A96">
        <w:rPr>
          <w:rFonts w:cs="Times New Roman"/>
          <w:sz w:val="24"/>
          <w:szCs w:val="24"/>
        </w:rPr>
        <w:t xml:space="preserve"> dēļ. </w:t>
      </w:r>
    </w:p>
    <w:p w:rsidR="0025289E" w:rsidRPr="00424A96" w:rsidRDefault="0025289E">
      <w:pPr>
        <w:spacing w:after="120"/>
        <w:jc w:val="both"/>
        <w:rPr>
          <w:rFonts w:cs="Times New Roman"/>
          <w:sz w:val="24"/>
          <w:szCs w:val="24"/>
        </w:rPr>
      </w:pPr>
      <w:r w:rsidRPr="00424A96">
        <w:rPr>
          <w:rFonts w:cs="Times New Roman"/>
          <w:sz w:val="24"/>
          <w:szCs w:val="24"/>
          <w:vertAlign w:val="superscript"/>
        </w:rPr>
        <w:t>8</w:t>
      </w:r>
      <w:r w:rsidRPr="00424A96">
        <w:rPr>
          <w:rFonts w:cs="Times New Roman"/>
          <w:sz w:val="24"/>
          <w:szCs w:val="24"/>
        </w:rPr>
        <w:t xml:space="preserve"> Šī 874–874,4 MHz frekvenču josla ir harmonizētā minimālā pamatjosla.</w:t>
      </w:r>
    </w:p>
    <w:p w:rsidR="0025289E" w:rsidRPr="00424A96" w:rsidRDefault="0025289E">
      <w:pPr>
        <w:spacing w:after="120"/>
        <w:jc w:val="both"/>
        <w:rPr>
          <w:rFonts w:cs="Times New Roman"/>
          <w:sz w:val="24"/>
          <w:szCs w:val="24"/>
        </w:rPr>
      </w:pPr>
      <w:r w:rsidRPr="00424A96">
        <w:rPr>
          <w:rFonts w:cs="Times New Roman"/>
          <w:sz w:val="24"/>
          <w:szCs w:val="24"/>
          <w:vertAlign w:val="superscript"/>
        </w:rPr>
        <w:t>9</w:t>
      </w:r>
      <w:r w:rsidRPr="00424A96">
        <w:rPr>
          <w:rFonts w:cs="Times New Roman"/>
          <w:sz w:val="24"/>
          <w:szCs w:val="24"/>
        </w:rPr>
        <w:t xml:space="preserve"> Šī 917,4–919,4 MHz frekvenču josla ir harmonizētā minimālā pamatjosla. </w:t>
      </w:r>
    </w:p>
    <w:p w:rsidR="0025289E" w:rsidRPr="00424A96" w:rsidRDefault="0025289E">
      <w:pPr>
        <w:spacing w:after="120"/>
        <w:jc w:val="both"/>
        <w:rPr>
          <w:rFonts w:cs="Times New Roman"/>
          <w:sz w:val="24"/>
          <w:szCs w:val="24"/>
        </w:rPr>
      </w:pPr>
      <w:r w:rsidRPr="00424A96">
        <w:rPr>
          <w:rFonts w:cs="Times New Roman"/>
          <w:sz w:val="24"/>
          <w:szCs w:val="24"/>
          <w:vertAlign w:val="superscript"/>
        </w:rPr>
        <w:t>10</w:t>
      </w:r>
      <w:r w:rsidRPr="00424A96">
        <w:rPr>
          <w:rFonts w:cs="Times New Roman"/>
          <w:sz w:val="24"/>
          <w:szCs w:val="24"/>
        </w:rPr>
        <w:t xml:space="preserve"> Frekvenču joslā ap </w:t>
      </w:r>
      <w:r w:rsidRPr="00424A96">
        <w:rPr>
          <w:rFonts w:cs="Times New Roman"/>
          <w:iCs/>
          <w:sz w:val="24"/>
          <w:szCs w:val="24"/>
        </w:rPr>
        <w:t>RFID</w:t>
      </w:r>
      <w:r w:rsidRPr="00424A96">
        <w:rPr>
          <w:rFonts w:cs="Times New Roman"/>
          <w:i/>
          <w:iCs/>
          <w:sz w:val="24"/>
          <w:szCs w:val="24"/>
        </w:rPr>
        <w:t xml:space="preserve"> </w:t>
      </w:r>
      <w:r w:rsidRPr="00424A96">
        <w:rPr>
          <w:rFonts w:cs="Times New Roman"/>
          <w:sz w:val="24"/>
          <w:szCs w:val="24"/>
        </w:rPr>
        <w:t xml:space="preserve">nolasītāja kanāliem </w:t>
      </w:r>
      <w:r w:rsidRPr="00424A96">
        <w:rPr>
          <w:rFonts w:cs="Times New Roman"/>
          <w:iCs/>
          <w:sz w:val="24"/>
          <w:szCs w:val="24"/>
        </w:rPr>
        <w:t>RFID</w:t>
      </w:r>
      <w:r w:rsidRPr="00424A96">
        <w:rPr>
          <w:rFonts w:cs="Times New Roman"/>
          <w:i/>
          <w:iCs/>
          <w:sz w:val="24"/>
          <w:szCs w:val="24"/>
        </w:rPr>
        <w:t xml:space="preserve"> </w:t>
      </w:r>
      <w:r w:rsidRPr="00424A96">
        <w:rPr>
          <w:rFonts w:cs="Times New Roman"/>
          <w:sz w:val="24"/>
          <w:szCs w:val="24"/>
        </w:rPr>
        <w:t>birkas reaģē ar ļoti zemu jaudu (– 10 dBm e.r.p.), un tām jāatbilst Direktīvas 2014/53/ES pamatprasībām.</w:t>
      </w:r>
    </w:p>
    <w:p w:rsidR="006A6ECA" w:rsidRDefault="006A6ECA">
      <w:pPr>
        <w:spacing w:after="0" w:line="240" w:lineRule="auto"/>
        <w:jc w:val="both"/>
        <w:rPr>
          <w:rFonts w:eastAsia="Times New Roman" w:cs="Times New Roman"/>
          <w:b/>
          <w:bCs/>
          <w:sz w:val="24"/>
          <w:szCs w:val="24"/>
          <w:lang w:eastAsia="lv-LV"/>
        </w:rPr>
      </w:pPr>
    </w:p>
    <w:p w:rsidR="003D724F" w:rsidRPr="0076473D" w:rsidRDefault="003D724F">
      <w:pPr>
        <w:spacing w:after="0" w:line="240" w:lineRule="auto"/>
        <w:jc w:val="both"/>
        <w:rPr>
          <w:rFonts w:eastAsia="Times New Roman" w:cs="Times New Roman"/>
          <w:b/>
          <w:bCs/>
          <w:sz w:val="24"/>
          <w:szCs w:val="24"/>
          <w:lang w:eastAsia="lv-LV"/>
        </w:rPr>
      </w:pPr>
      <w:r w:rsidRPr="0076473D">
        <w:rPr>
          <w:rFonts w:eastAsia="Times New Roman" w:cs="Times New Roman"/>
          <w:b/>
          <w:bCs/>
          <w:sz w:val="24"/>
          <w:szCs w:val="24"/>
          <w:lang w:eastAsia="lv-LV"/>
        </w:rPr>
        <w:t>8.15.</w:t>
      </w:r>
      <w:r>
        <w:rPr>
          <w:rFonts w:eastAsia="Times New Roman" w:cs="Times New Roman"/>
          <w:b/>
          <w:bCs/>
          <w:sz w:val="24"/>
          <w:szCs w:val="24"/>
          <w:lang w:eastAsia="lv-LV"/>
        </w:rPr>
        <w:t>2</w:t>
      </w:r>
      <w:r w:rsidRPr="0076473D">
        <w:rPr>
          <w:rFonts w:eastAsia="Times New Roman" w:cs="Times New Roman"/>
          <w:b/>
          <w:bCs/>
          <w:sz w:val="24"/>
          <w:szCs w:val="24"/>
          <w:lang w:eastAsia="lv-LV"/>
        </w:rPr>
        <w:t xml:space="preserve">. </w:t>
      </w:r>
      <w:r>
        <w:rPr>
          <w:rFonts w:eastAsia="Times New Roman" w:cs="Times New Roman"/>
          <w:b/>
          <w:bCs/>
          <w:sz w:val="24"/>
          <w:szCs w:val="24"/>
          <w:lang w:eastAsia="lv-LV"/>
        </w:rPr>
        <w:t>Kopējie izmantošanas nosacījumi, ierobežojumi</w:t>
      </w:r>
    </w:p>
    <w:p w:rsidR="003D724F" w:rsidRPr="0076473D" w:rsidRDefault="003D724F">
      <w:pPr>
        <w:spacing w:before="240"/>
        <w:jc w:val="both"/>
        <w:rPr>
          <w:sz w:val="24"/>
          <w:szCs w:val="24"/>
        </w:rPr>
      </w:pPr>
      <w:r w:rsidRPr="0076473D">
        <w:rPr>
          <w:sz w:val="24"/>
          <w:szCs w:val="24"/>
        </w:rPr>
        <w:t xml:space="preserve">Vispārīgie tehniskie nosacījumi, kas attiecas uz </w:t>
      </w:r>
      <w:r w:rsidR="008C7D51">
        <w:rPr>
          <w:sz w:val="24"/>
          <w:szCs w:val="24"/>
        </w:rPr>
        <w:t xml:space="preserve">Lēmuma </w:t>
      </w:r>
      <w:r w:rsidR="008C7D51" w:rsidRPr="00F03A88">
        <w:rPr>
          <w:sz w:val="24"/>
          <w:szCs w:val="24"/>
        </w:rPr>
        <w:t>2018/1538</w:t>
      </w:r>
      <w:r w:rsidR="008C7D51">
        <w:rPr>
          <w:sz w:val="24"/>
          <w:szCs w:val="24"/>
        </w:rPr>
        <w:t xml:space="preserve"> </w:t>
      </w:r>
      <w:r w:rsidRPr="0076473D">
        <w:rPr>
          <w:sz w:val="24"/>
          <w:szCs w:val="24"/>
        </w:rPr>
        <w:t xml:space="preserve">darbības jomā ietilpstošām joslām un maza darbības attāluma ierīcēm: </w:t>
      </w:r>
    </w:p>
    <w:p w:rsidR="003D724F" w:rsidRPr="0076473D" w:rsidRDefault="00153530">
      <w:pPr>
        <w:jc w:val="both"/>
        <w:rPr>
          <w:sz w:val="24"/>
          <w:szCs w:val="24"/>
        </w:rPr>
      </w:pPr>
      <w:r>
        <w:rPr>
          <w:sz w:val="24"/>
          <w:szCs w:val="24"/>
        </w:rPr>
        <w:t>S</w:t>
      </w:r>
      <w:r w:rsidR="003D724F" w:rsidRPr="0076473D">
        <w:rPr>
          <w:sz w:val="24"/>
          <w:szCs w:val="24"/>
        </w:rPr>
        <w:t xml:space="preserve">pektru </w:t>
      </w:r>
      <w:r w:rsidR="00EA425E">
        <w:rPr>
          <w:sz w:val="24"/>
          <w:szCs w:val="24"/>
        </w:rPr>
        <w:t xml:space="preserve">atļauts </w:t>
      </w:r>
      <w:r w:rsidR="00EA425E" w:rsidRPr="0076473D">
        <w:rPr>
          <w:sz w:val="24"/>
          <w:szCs w:val="24"/>
        </w:rPr>
        <w:t xml:space="preserve">izmantot </w:t>
      </w:r>
      <w:r w:rsidR="003D724F" w:rsidRPr="0076473D">
        <w:rPr>
          <w:sz w:val="24"/>
          <w:szCs w:val="24"/>
        </w:rPr>
        <w:t xml:space="preserve">līdz </w:t>
      </w:r>
      <w:r w:rsidR="008C7D51" w:rsidRPr="00CC67E7">
        <w:rPr>
          <w:sz w:val="24"/>
          <w:szCs w:val="24"/>
        </w:rPr>
        <w:t>8.15.1.</w:t>
      </w:r>
      <w:r w:rsidR="00C777B2" w:rsidRPr="00CC67E7">
        <w:rPr>
          <w:sz w:val="24"/>
          <w:szCs w:val="24"/>
        </w:rPr>
        <w:t> </w:t>
      </w:r>
      <w:r w:rsidR="003D724F" w:rsidRPr="00CC67E7">
        <w:rPr>
          <w:sz w:val="24"/>
          <w:szCs w:val="24"/>
        </w:rPr>
        <w:t>tabulā</w:t>
      </w:r>
      <w:r w:rsidR="003D724F" w:rsidRPr="0076473D">
        <w:rPr>
          <w:sz w:val="24"/>
          <w:szCs w:val="24"/>
        </w:rPr>
        <w:t xml:space="preserve"> norādītajai </w:t>
      </w:r>
      <w:r w:rsidR="003D724F" w:rsidRPr="00C76571">
        <w:rPr>
          <w:bCs/>
          <w:sz w:val="24"/>
          <w:szCs w:val="24"/>
        </w:rPr>
        <w:t xml:space="preserve">raidīšanas jaudas, lauka intensitātes vai jaudas blīvuma </w:t>
      </w:r>
      <w:r w:rsidR="003D724F" w:rsidRPr="0076473D">
        <w:rPr>
          <w:sz w:val="24"/>
          <w:szCs w:val="24"/>
        </w:rPr>
        <w:t xml:space="preserve">vērtībai. </w:t>
      </w:r>
      <w:r w:rsidR="003D724F" w:rsidRPr="008C7D51">
        <w:rPr>
          <w:sz w:val="24"/>
          <w:szCs w:val="24"/>
        </w:rPr>
        <w:t xml:space="preserve">Saskaņā ar </w:t>
      </w:r>
      <w:r w:rsidR="009241FF" w:rsidRPr="00F03A88">
        <w:rPr>
          <w:sz w:val="24"/>
          <w:szCs w:val="24"/>
        </w:rPr>
        <w:t>Lēmuma 2018/1538</w:t>
      </w:r>
      <w:r w:rsidR="009241FF">
        <w:rPr>
          <w:sz w:val="24"/>
          <w:szCs w:val="24"/>
        </w:rPr>
        <w:t xml:space="preserve"> </w:t>
      </w:r>
      <w:r w:rsidR="003D724F" w:rsidRPr="008C7D51">
        <w:rPr>
          <w:sz w:val="24"/>
          <w:szCs w:val="24"/>
        </w:rPr>
        <w:t xml:space="preserve">3. panta 3. punktu </w:t>
      </w:r>
      <w:r w:rsidR="008C7D51">
        <w:rPr>
          <w:sz w:val="24"/>
          <w:szCs w:val="24"/>
        </w:rPr>
        <w:t xml:space="preserve">var tikt </w:t>
      </w:r>
      <w:r w:rsidR="003D724F" w:rsidRPr="008C7D51">
        <w:rPr>
          <w:sz w:val="24"/>
          <w:szCs w:val="24"/>
        </w:rPr>
        <w:t>izvirzīt</w:t>
      </w:r>
      <w:r w:rsidR="008C7D51">
        <w:rPr>
          <w:sz w:val="24"/>
          <w:szCs w:val="24"/>
        </w:rPr>
        <w:t>i</w:t>
      </w:r>
      <w:r w:rsidR="003D724F" w:rsidRPr="008C7D51">
        <w:rPr>
          <w:sz w:val="24"/>
          <w:szCs w:val="24"/>
        </w:rPr>
        <w:t xml:space="preserve"> m</w:t>
      </w:r>
      <w:r w:rsidR="003D724F" w:rsidRPr="0076473D">
        <w:rPr>
          <w:sz w:val="24"/>
          <w:szCs w:val="24"/>
        </w:rPr>
        <w:t>azāk ierobežojoš</w:t>
      </w:r>
      <w:r w:rsidR="008C7D51">
        <w:rPr>
          <w:sz w:val="24"/>
          <w:szCs w:val="24"/>
        </w:rPr>
        <w:t>i</w:t>
      </w:r>
      <w:r w:rsidR="003D724F" w:rsidRPr="0076473D">
        <w:rPr>
          <w:sz w:val="24"/>
          <w:szCs w:val="24"/>
        </w:rPr>
        <w:t xml:space="preserve"> nosacījum</w:t>
      </w:r>
      <w:r w:rsidR="008C7D51">
        <w:rPr>
          <w:sz w:val="24"/>
          <w:szCs w:val="24"/>
        </w:rPr>
        <w:t>i,</w:t>
      </w:r>
      <w:r w:rsidR="003D724F" w:rsidRPr="0076473D">
        <w:rPr>
          <w:sz w:val="24"/>
          <w:szCs w:val="24"/>
        </w:rPr>
        <w:t xml:space="preserve"> t. i., atļaut spektru izmantot ar lielāku raidīšanas jaudu, lauka intensitāti vai jaudas blīvumu, ja tas neierobežo un neapdraud maza darbības attāluma ierīču pienācīgu līdzāspastāvēšanu ar </w:t>
      </w:r>
      <w:r w:rsidR="0049069A" w:rsidRPr="00F03A88">
        <w:rPr>
          <w:sz w:val="24"/>
          <w:szCs w:val="24"/>
        </w:rPr>
        <w:t>Lēmum</w:t>
      </w:r>
      <w:r w:rsidR="0049069A">
        <w:rPr>
          <w:sz w:val="24"/>
          <w:szCs w:val="24"/>
        </w:rPr>
        <w:t>u</w:t>
      </w:r>
      <w:r w:rsidR="0049069A" w:rsidRPr="00F03A88">
        <w:rPr>
          <w:sz w:val="24"/>
          <w:szCs w:val="24"/>
        </w:rPr>
        <w:t xml:space="preserve"> 2018/1538</w:t>
      </w:r>
      <w:r w:rsidR="0049069A">
        <w:rPr>
          <w:sz w:val="24"/>
          <w:szCs w:val="24"/>
        </w:rPr>
        <w:t xml:space="preserve"> </w:t>
      </w:r>
      <w:r w:rsidR="003D724F" w:rsidRPr="0076473D">
        <w:rPr>
          <w:sz w:val="24"/>
          <w:szCs w:val="24"/>
        </w:rPr>
        <w:t xml:space="preserve">harmonizētajās joslās. </w:t>
      </w:r>
    </w:p>
    <w:p w:rsidR="003D724F" w:rsidRPr="0076473D" w:rsidRDefault="00615439">
      <w:pPr>
        <w:jc w:val="both"/>
        <w:rPr>
          <w:sz w:val="24"/>
          <w:szCs w:val="24"/>
        </w:rPr>
      </w:pPr>
      <w:r>
        <w:rPr>
          <w:sz w:val="24"/>
          <w:szCs w:val="24"/>
        </w:rPr>
        <w:t xml:space="preserve">Var tikt </w:t>
      </w:r>
      <w:r w:rsidR="003D724F" w:rsidRPr="0076473D">
        <w:rPr>
          <w:sz w:val="24"/>
          <w:szCs w:val="24"/>
        </w:rPr>
        <w:t>noteikt</w:t>
      </w:r>
      <w:r>
        <w:rPr>
          <w:sz w:val="24"/>
          <w:szCs w:val="24"/>
        </w:rPr>
        <w:t>i</w:t>
      </w:r>
      <w:r w:rsidR="003D724F" w:rsidRPr="0076473D">
        <w:rPr>
          <w:sz w:val="24"/>
          <w:szCs w:val="24"/>
        </w:rPr>
        <w:t xml:space="preserve"> </w:t>
      </w:r>
      <w:r w:rsidRPr="00CC67E7">
        <w:rPr>
          <w:sz w:val="24"/>
          <w:szCs w:val="24"/>
        </w:rPr>
        <w:t>8.15.1. tabulā</w:t>
      </w:r>
      <w:r w:rsidRPr="0076473D">
        <w:rPr>
          <w:sz w:val="24"/>
          <w:szCs w:val="24"/>
        </w:rPr>
        <w:t xml:space="preserve"> </w:t>
      </w:r>
      <w:r w:rsidR="003D724F" w:rsidRPr="0076473D">
        <w:rPr>
          <w:sz w:val="24"/>
          <w:szCs w:val="24"/>
        </w:rPr>
        <w:t>dot</w:t>
      </w:r>
      <w:r>
        <w:rPr>
          <w:sz w:val="24"/>
          <w:szCs w:val="24"/>
        </w:rPr>
        <w:t>ie</w:t>
      </w:r>
      <w:r w:rsidR="003D724F" w:rsidRPr="0076473D">
        <w:rPr>
          <w:sz w:val="24"/>
          <w:szCs w:val="24"/>
        </w:rPr>
        <w:t xml:space="preserve"> “</w:t>
      </w:r>
      <w:r w:rsidR="003D724F" w:rsidRPr="00153530">
        <w:rPr>
          <w:bCs/>
          <w:sz w:val="24"/>
          <w:szCs w:val="24"/>
        </w:rPr>
        <w:t>papildu parametr</w:t>
      </w:r>
      <w:r>
        <w:rPr>
          <w:bCs/>
          <w:sz w:val="24"/>
          <w:szCs w:val="24"/>
        </w:rPr>
        <w:t>i</w:t>
      </w:r>
      <w:r w:rsidR="003D724F" w:rsidRPr="0076473D">
        <w:rPr>
          <w:b/>
          <w:bCs/>
          <w:sz w:val="24"/>
          <w:szCs w:val="24"/>
        </w:rPr>
        <w:t xml:space="preserve"> </w:t>
      </w:r>
      <w:r w:rsidR="003D724F" w:rsidRPr="0076473D">
        <w:rPr>
          <w:sz w:val="24"/>
          <w:szCs w:val="24"/>
        </w:rPr>
        <w:t xml:space="preserve">(kanālu sakārtojuma un/vai kanālu piekļuves un aizņemšanas noteikumus)”, bet nedrīkst papildus noteikt citus parametrus vai prasības attiecībā uz piekļuvi spektram un traucējumu mazināšanu. Mazāk ierobežojoši nosacījumi </w:t>
      </w:r>
      <w:r w:rsidR="00153530" w:rsidRPr="00F03A88">
        <w:rPr>
          <w:sz w:val="24"/>
          <w:szCs w:val="24"/>
        </w:rPr>
        <w:t>Lēmuma 2018/1538</w:t>
      </w:r>
      <w:r w:rsidR="00153530">
        <w:rPr>
          <w:sz w:val="24"/>
          <w:szCs w:val="24"/>
        </w:rPr>
        <w:t xml:space="preserve"> </w:t>
      </w:r>
      <w:r w:rsidR="003D724F" w:rsidRPr="0076473D">
        <w:rPr>
          <w:sz w:val="24"/>
          <w:szCs w:val="24"/>
        </w:rPr>
        <w:t xml:space="preserve">3. panta 3. punkta izpratnē nozīmē </w:t>
      </w:r>
      <w:r w:rsidR="003D724F" w:rsidRPr="0076473D">
        <w:rPr>
          <w:sz w:val="24"/>
          <w:szCs w:val="24"/>
        </w:rPr>
        <w:lastRenderedPageBreak/>
        <w:t xml:space="preserve">to, ka drīkst pilnībā atteikties no ailē norādītajiem papildu parametriem (kanālu sakārtojuma un/vai kanālu piekļuves un aizņemšanas noteikumiem) vai atļaut augstākas vērtības, ja vien harmonizētajā joslā netiek apdraudēta attiecīgā koplietošanas vide. </w:t>
      </w:r>
    </w:p>
    <w:p w:rsidR="003D724F" w:rsidRPr="0076473D" w:rsidRDefault="00615439">
      <w:pPr>
        <w:jc w:val="both"/>
        <w:rPr>
          <w:sz w:val="24"/>
          <w:szCs w:val="24"/>
        </w:rPr>
      </w:pPr>
      <w:r>
        <w:rPr>
          <w:sz w:val="24"/>
          <w:szCs w:val="24"/>
        </w:rPr>
        <w:t>Var tikt</w:t>
      </w:r>
      <w:r w:rsidR="003D724F" w:rsidRPr="0076473D">
        <w:rPr>
          <w:sz w:val="24"/>
          <w:szCs w:val="24"/>
        </w:rPr>
        <w:t xml:space="preserve"> noteikt</w:t>
      </w:r>
      <w:r>
        <w:rPr>
          <w:sz w:val="24"/>
          <w:szCs w:val="24"/>
        </w:rPr>
        <w:t>i</w:t>
      </w:r>
      <w:r w:rsidR="003D724F" w:rsidRPr="0076473D">
        <w:rPr>
          <w:sz w:val="24"/>
          <w:szCs w:val="24"/>
        </w:rPr>
        <w:t xml:space="preserve"> </w:t>
      </w:r>
      <w:r w:rsidRPr="00CC67E7">
        <w:rPr>
          <w:sz w:val="24"/>
          <w:szCs w:val="24"/>
        </w:rPr>
        <w:t>8.15.1. tabulā</w:t>
      </w:r>
      <w:r w:rsidRPr="0076473D">
        <w:rPr>
          <w:sz w:val="24"/>
          <w:szCs w:val="24"/>
        </w:rPr>
        <w:t xml:space="preserve"> </w:t>
      </w:r>
      <w:r w:rsidR="003D724F" w:rsidRPr="0076473D">
        <w:rPr>
          <w:sz w:val="24"/>
          <w:szCs w:val="24"/>
        </w:rPr>
        <w:t>dot</w:t>
      </w:r>
      <w:r>
        <w:rPr>
          <w:sz w:val="24"/>
          <w:szCs w:val="24"/>
        </w:rPr>
        <w:t>ie</w:t>
      </w:r>
      <w:r w:rsidR="003D724F" w:rsidRPr="0076473D">
        <w:rPr>
          <w:sz w:val="24"/>
          <w:szCs w:val="24"/>
        </w:rPr>
        <w:t xml:space="preserve"> “</w:t>
      </w:r>
      <w:r w:rsidR="003D724F" w:rsidRPr="002E552A">
        <w:rPr>
          <w:bCs/>
          <w:sz w:val="24"/>
          <w:szCs w:val="24"/>
        </w:rPr>
        <w:t>cit</w:t>
      </w:r>
      <w:r w:rsidRPr="002E552A">
        <w:rPr>
          <w:bCs/>
          <w:sz w:val="24"/>
          <w:szCs w:val="24"/>
        </w:rPr>
        <w:t>i</w:t>
      </w:r>
      <w:r w:rsidR="003D724F" w:rsidRPr="002E552A">
        <w:rPr>
          <w:bCs/>
          <w:sz w:val="24"/>
          <w:szCs w:val="24"/>
        </w:rPr>
        <w:t xml:space="preserve"> izmantošanas ierobežojum</w:t>
      </w:r>
      <w:r w:rsidRPr="002E552A">
        <w:rPr>
          <w:bCs/>
          <w:sz w:val="24"/>
          <w:szCs w:val="24"/>
        </w:rPr>
        <w:t>i</w:t>
      </w:r>
      <w:r w:rsidR="003D724F" w:rsidRPr="0076473D">
        <w:rPr>
          <w:sz w:val="24"/>
          <w:szCs w:val="24"/>
        </w:rPr>
        <w:t xml:space="preserve">”, bet nedrīkst noteikt izmantošanas papildu ierobežojumus, ja vien nav jāievēro </w:t>
      </w:r>
      <w:r w:rsidRPr="00F03A88">
        <w:rPr>
          <w:sz w:val="24"/>
          <w:szCs w:val="24"/>
        </w:rPr>
        <w:t>Lēmuma 2018/1538</w:t>
      </w:r>
      <w:r>
        <w:rPr>
          <w:sz w:val="24"/>
          <w:szCs w:val="24"/>
        </w:rPr>
        <w:t xml:space="preserve"> </w:t>
      </w:r>
      <w:r w:rsidR="003D724F" w:rsidRPr="0076473D">
        <w:rPr>
          <w:sz w:val="24"/>
          <w:szCs w:val="24"/>
        </w:rPr>
        <w:t xml:space="preserve">3. panta 2. punktā minētie nosacījumi. Tā kā drīkst pieņemt mazāk ierobežojošus nosacījumus </w:t>
      </w:r>
      <w:r w:rsidRPr="00F03A88">
        <w:rPr>
          <w:sz w:val="24"/>
          <w:szCs w:val="24"/>
        </w:rPr>
        <w:t>Lēmuma 2018/1538</w:t>
      </w:r>
      <w:r>
        <w:rPr>
          <w:sz w:val="24"/>
          <w:szCs w:val="24"/>
        </w:rPr>
        <w:t xml:space="preserve"> </w:t>
      </w:r>
      <w:r w:rsidR="003D724F" w:rsidRPr="0076473D">
        <w:rPr>
          <w:sz w:val="24"/>
          <w:szCs w:val="24"/>
        </w:rPr>
        <w:t>3. panta 3. punkta izpratnē, var atteikties no viena vai visiem šiem ierobežojumiem, ja vien harmonizētajā joslā netiek apdraudēta koplietošanas vi</w:t>
      </w:r>
      <w:r w:rsidR="003A7403">
        <w:rPr>
          <w:sz w:val="24"/>
          <w:szCs w:val="24"/>
        </w:rPr>
        <w:t>de.”</w:t>
      </w:r>
    </w:p>
    <w:p w:rsidR="003D724F" w:rsidRDefault="003D724F">
      <w:pPr>
        <w:jc w:val="both"/>
        <w:rPr>
          <w:sz w:val="24"/>
          <w:szCs w:val="24"/>
        </w:rPr>
      </w:pPr>
    </w:p>
    <w:p w:rsidR="00D9571A" w:rsidRPr="00595E61" w:rsidRDefault="00D9571A">
      <w:pPr>
        <w:pStyle w:val="ListParagraph"/>
        <w:numPr>
          <w:ilvl w:val="0"/>
          <w:numId w:val="2"/>
        </w:numPr>
        <w:jc w:val="both"/>
        <w:rPr>
          <w:rFonts w:cs="Times New Roman"/>
          <w:szCs w:val="28"/>
        </w:rPr>
      </w:pPr>
      <w:r w:rsidRPr="00595E61">
        <w:rPr>
          <w:rFonts w:cs="Times New Roman"/>
          <w:szCs w:val="28"/>
        </w:rPr>
        <w:t>Izteikt 3. pielikuma II. sadaļas 9.5.</w:t>
      </w:r>
      <w:r w:rsidR="00B14A2D" w:rsidRPr="00595E61">
        <w:rPr>
          <w:rFonts w:cs="Times New Roman"/>
          <w:szCs w:val="28"/>
        </w:rPr>
        <w:t>1.</w:t>
      </w:r>
      <w:r w:rsidRPr="00595E61">
        <w:rPr>
          <w:rFonts w:cs="Times New Roman"/>
          <w:szCs w:val="28"/>
        </w:rPr>
        <w:t> apakšpunktu šādā redakcijā:</w:t>
      </w:r>
    </w:p>
    <w:p w:rsidR="00D9571A" w:rsidRPr="0069698D" w:rsidRDefault="00D9571A" w:rsidP="0043732C">
      <w:pPr>
        <w:spacing w:before="100" w:beforeAutospacing="1" w:after="100" w:afterAutospacing="1" w:line="300" w:lineRule="atLeast"/>
        <w:ind w:firstLine="300"/>
        <w:jc w:val="both"/>
        <w:rPr>
          <w:rFonts w:eastAsia="Times New Roman" w:cs="Times New Roman"/>
          <w:b/>
          <w:bCs/>
          <w:sz w:val="24"/>
          <w:szCs w:val="24"/>
          <w:lang w:eastAsia="lv-LV"/>
        </w:rPr>
      </w:pPr>
      <w:r w:rsidRPr="0069698D">
        <w:rPr>
          <w:rFonts w:cs="Times New Roman"/>
          <w:sz w:val="24"/>
          <w:szCs w:val="24"/>
        </w:rPr>
        <w:t>“</w:t>
      </w:r>
      <w:r w:rsidRPr="0069698D">
        <w:rPr>
          <w:rFonts w:eastAsia="Times New Roman" w:cs="Times New Roman"/>
          <w:b/>
          <w:bCs/>
          <w:sz w:val="24"/>
          <w:szCs w:val="24"/>
          <w:lang w:eastAsia="lv-LV"/>
        </w:rPr>
        <w:t xml:space="preserve">9.5.1. Tehniskās prasības Zemes stacijām uz mobilām platformām (ESOMP) </w:t>
      </w:r>
      <w:r w:rsidRPr="0069698D">
        <w:rPr>
          <w:rFonts w:eastAsia="Times New Roman" w:cs="Times New Roman"/>
          <w:b/>
          <w:sz w:val="24"/>
          <w:szCs w:val="24"/>
          <w:lang w:eastAsia="lv-LV"/>
        </w:rPr>
        <w:t>GSO satelītu tīklā</w:t>
      </w:r>
      <w:r w:rsidRPr="0069698D">
        <w:rPr>
          <w:rFonts w:eastAsia="Times New Roman" w:cs="Times New Roman"/>
          <w:b/>
          <w:bCs/>
          <w:sz w:val="24"/>
          <w:szCs w:val="24"/>
          <w:lang w:eastAsia="lv-LV"/>
        </w:rPr>
        <w:t xml:space="preserve">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97"/>
        <w:gridCol w:w="2321"/>
        <w:gridCol w:w="2653"/>
        <w:gridCol w:w="2819"/>
      </w:tblGrid>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Nr. p. k.</w:t>
            </w:r>
          </w:p>
        </w:tc>
        <w:tc>
          <w:tcPr>
            <w:tcW w:w="14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Parametri</w:t>
            </w:r>
          </w:p>
        </w:tc>
        <w:tc>
          <w:tcPr>
            <w:tcW w:w="16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Apraksts</w:t>
            </w:r>
          </w:p>
        </w:tc>
        <w:tc>
          <w:tcPr>
            <w:tcW w:w="175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Papildu nosacījumi</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1.</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Radiosakaru dienests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Fiksētais satelītu dienests</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2.</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Radiosakaru sistēmas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Zemes stacija uz mobilas platformas (ESOMP)</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Tikai GSO satelītu tīklā</w:t>
            </w:r>
          </w:p>
        </w:tc>
      </w:tr>
      <w:tr w:rsidR="00D9571A" w:rsidRPr="00D9571A" w:rsidTr="009C1BD4">
        <w:tc>
          <w:tcPr>
            <w:tcW w:w="300" w:type="pct"/>
            <w:vMerge w:val="restar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3.</w:t>
            </w:r>
          </w:p>
        </w:tc>
        <w:tc>
          <w:tcPr>
            <w:tcW w:w="1400" w:type="pct"/>
            <w:vMerge w:val="restar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Radiofrekvenču josla</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17,3–17,7 GHz</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r>
      <w:tr w:rsidR="00D9571A" w:rsidRPr="00D9571A" w:rsidTr="009C1BD4">
        <w:tc>
          <w:tcPr>
            <w:tcW w:w="0" w:type="auto"/>
            <w:vMerge/>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xml:space="preserve">19,7–20,2 GHz; </w:t>
            </w:r>
          </w:p>
          <w:p w:rsidR="00D9571A" w:rsidRPr="00D9571A" w:rsidRDefault="00D9571A" w:rsidP="0043732C">
            <w:pPr>
              <w:spacing w:before="100" w:beforeAutospacing="1" w:after="0" w:line="300" w:lineRule="atLeast"/>
              <w:jc w:val="both"/>
              <w:rPr>
                <w:rFonts w:eastAsia="Times New Roman" w:cs="Times New Roman"/>
                <w:sz w:val="24"/>
                <w:szCs w:val="24"/>
                <w:lang w:eastAsia="lv-LV"/>
              </w:rPr>
            </w:pPr>
            <w:r w:rsidRPr="00D9571A">
              <w:rPr>
                <w:rFonts w:eastAsia="Times New Roman" w:cs="Times New Roman"/>
                <w:sz w:val="24"/>
                <w:szCs w:val="24"/>
                <w:lang w:eastAsia="lv-LV"/>
              </w:rPr>
              <w:t>29,5–30,0 GHz</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Saskaņā ar ECC/DEC/(13)01 lēmuma lemjošās daļas 2. a punktu</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4.</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Radiokanālu plānojums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Nosaka satelītu tīkla operators</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5.</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Pārraidāmā signāla veids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Nosaka satelītu tīkla operators</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6.</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Radiosakaru trašu virzieni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xml:space="preserve">17,3–17,7 GHz un </w:t>
            </w:r>
          </w:p>
          <w:p w:rsidR="00D9571A" w:rsidRPr="00D9571A" w:rsidRDefault="00D9571A" w:rsidP="0043732C">
            <w:pPr>
              <w:spacing w:before="100" w:beforeAutospacing="1" w:after="0" w:line="300" w:lineRule="atLeast"/>
              <w:jc w:val="both"/>
              <w:rPr>
                <w:rFonts w:eastAsia="Times New Roman" w:cs="Times New Roman"/>
                <w:sz w:val="24"/>
                <w:szCs w:val="24"/>
                <w:lang w:eastAsia="lv-LV"/>
              </w:rPr>
            </w:pPr>
            <w:r w:rsidRPr="00D9571A">
              <w:rPr>
                <w:rFonts w:eastAsia="Times New Roman" w:cs="Times New Roman"/>
                <w:sz w:val="24"/>
                <w:szCs w:val="24"/>
                <w:lang w:eastAsia="lv-LV"/>
              </w:rPr>
              <w:t>19,7–20,2 GHz (izplatījums–Zeme);</w:t>
            </w:r>
          </w:p>
          <w:p w:rsidR="00D9571A" w:rsidRPr="00D9571A" w:rsidRDefault="00D9571A" w:rsidP="0043732C">
            <w:pPr>
              <w:spacing w:before="100" w:beforeAutospacing="1" w:after="0" w:line="300" w:lineRule="atLeast"/>
              <w:jc w:val="both"/>
              <w:rPr>
                <w:rFonts w:eastAsia="Times New Roman" w:cs="Times New Roman"/>
                <w:sz w:val="24"/>
                <w:szCs w:val="24"/>
                <w:lang w:eastAsia="lv-LV"/>
              </w:rPr>
            </w:pPr>
            <w:r w:rsidRPr="00D9571A">
              <w:rPr>
                <w:rFonts w:eastAsia="Times New Roman" w:cs="Times New Roman"/>
                <w:sz w:val="24"/>
                <w:szCs w:val="24"/>
                <w:lang w:eastAsia="lv-LV"/>
              </w:rPr>
              <w:t>29,5–30,0 GHz (Zeme–izplatījums)</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7.</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Raidītāja izejas (izstarotā) jauda</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p>
          <w:p w:rsidR="00D9571A" w:rsidRPr="00D9571A" w:rsidRDefault="00D9571A" w:rsidP="0043732C">
            <w:pPr>
              <w:pStyle w:val="ListParagraph"/>
              <w:numPr>
                <w:ilvl w:val="0"/>
                <w:numId w:val="1"/>
              </w:numPr>
              <w:spacing w:after="160" w:line="259" w:lineRule="auto"/>
              <w:ind w:left="337" w:hanging="283"/>
              <w:jc w:val="both"/>
              <w:rPr>
                <w:rFonts w:cs="Times New Roman"/>
                <w:sz w:val="24"/>
                <w:szCs w:val="24"/>
              </w:rPr>
            </w:pPr>
            <w:r w:rsidRPr="00D9571A">
              <w:rPr>
                <w:rFonts w:cs="Times New Roman"/>
                <w:sz w:val="24"/>
                <w:szCs w:val="24"/>
              </w:rPr>
              <w:t>e.i.r.p. ≤ 58,4 dBW – lietojot uz gaisa kuģiem (arī uz zemes esošiem) uzstādītās ESOMP iekārtas lidlauka teritorijā</w:t>
            </w:r>
          </w:p>
          <w:p w:rsidR="00D9571A" w:rsidRPr="00D9571A" w:rsidRDefault="00D9571A" w:rsidP="0043732C">
            <w:pPr>
              <w:pStyle w:val="ListParagraph"/>
              <w:numPr>
                <w:ilvl w:val="0"/>
                <w:numId w:val="1"/>
              </w:numPr>
              <w:spacing w:after="160" w:line="259" w:lineRule="auto"/>
              <w:ind w:left="337" w:hanging="283"/>
              <w:jc w:val="both"/>
              <w:rPr>
                <w:rFonts w:cs="Times New Roman"/>
                <w:sz w:val="24"/>
                <w:szCs w:val="24"/>
              </w:rPr>
            </w:pPr>
            <w:r w:rsidRPr="00D9571A">
              <w:rPr>
                <w:rFonts w:cs="Times New Roman"/>
                <w:sz w:val="24"/>
                <w:szCs w:val="24"/>
              </w:rPr>
              <w:lastRenderedPageBreak/>
              <w:t>e.i.r.p. ≤ 52,4 dBW – lietojot sauszemes ESOMP iekārtas lidlauka teritorijā</w:t>
            </w:r>
          </w:p>
          <w:p w:rsidR="00D9571A" w:rsidRPr="00D9571A" w:rsidRDefault="00D9571A" w:rsidP="0043732C">
            <w:pPr>
              <w:pStyle w:val="ListParagraph"/>
              <w:numPr>
                <w:ilvl w:val="0"/>
                <w:numId w:val="1"/>
              </w:numPr>
              <w:spacing w:after="160" w:line="259" w:lineRule="auto"/>
              <w:ind w:left="337" w:hanging="283"/>
              <w:jc w:val="both"/>
              <w:rPr>
                <w:rFonts w:cs="Times New Roman"/>
                <w:sz w:val="24"/>
                <w:szCs w:val="24"/>
              </w:rPr>
            </w:pPr>
            <w:r w:rsidRPr="00D9571A">
              <w:rPr>
                <w:rFonts w:cs="Times New Roman"/>
                <w:sz w:val="24"/>
                <w:szCs w:val="24"/>
              </w:rPr>
              <w:t>e.i.r.p. ≤ 60 dBW – lietojot punktos a) un b) neminētās ESOMP iekārtas ārpus lidlauka teritorijas vai uz kuģiem uzstādītās ESOMP iekārtas</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lastRenderedPageBreak/>
              <w:t xml:space="preserve">Saskaņā ar lēmuma ECC/DEC/(13)01 1. pielikuma 8. punktu </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8.</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Radiokanālu izmantošanas nosacījumi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Nosaka satelītu tīkla operators</w:t>
            </w:r>
          </w:p>
        </w:tc>
      </w:tr>
      <w:tr w:rsidR="00D9571A" w:rsidRPr="00D9571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9.</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Radiofrekvenču plānošanas nosacījumi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 </w:t>
            </w:r>
          </w:p>
        </w:tc>
        <w:tc>
          <w:tcPr>
            <w:tcW w:w="1750" w:type="pct"/>
            <w:tcBorders>
              <w:top w:val="outset" w:sz="6" w:space="0" w:color="414142"/>
              <w:left w:val="outset" w:sz="6" w:space="0" w:color="414142"/>
              <w:bottom w:val="outset" w:sz="6" w:space="0" w:color="414142"/>
              <w:right w:val="outset" w:sz="6" w:space="0" w:color="414142"/>
            </w:tcBorders>
            <w:shd w:val="clear" w:color="auto" w:fill="auto"/>
            <w:hideMark/>
          </w:tcPr>
          <w:p w:rsidR="00D9571A" w:rsidRPr="00D9571A" w:rsidRDefault="00D9571A" w:rsidP="0043732C">
            <w:pPr>
              <w:spacing w:after="0" w:line="240" w:lineRule="auto"/>
              <w:jc w:val="both"/>
              <w:rPr>
                <w:rFonts w:eastAsia="Times New Roman" w:cs="Times New Roman"/>
                <w:sz w:val="24"/>
                <w:szCs w:val="24"/>
                <w:lang w:eastAsia="lv-LV"/>
              </w:rPr>
            </w:pPr>
            <w:r w:rsidRPr="00D9571A">
              <w:rPr>
                <w:rFonts w:eastAsia="Times New Roman" w:cs="Times New Roman"/>
                <w:sz w:val="24"/>
                <w:szCs w:val="24"/>
                <w:lang w:eastAsia="lv-LV"/>
              </w:rPr>
              <w:t>Papildu tehniskās prasības ir definētas ECC lēmumā ECC/DEC/(13)01</w:t>
            </w:r>
          </w:p>
        </w:tc>
      </w:tr>
    </w:tbl>
    <w:p w:rsidR="00D9571A" w:rsidRDefault="0069698D" w:rsidP="00222204">
      <w:pPr>
        <w:jc w:val="both"/>
        <w:rPr>
          <w:sz w:val="24"/>
          <w:szCs w:val="24"/>
        </w:rPr>
      </w:pPr>
      <w:r>
        <w:rPr>
          <w:sz w:val="24"/>
          <w:szCs w:val="24"/>
        </w:rPr>
        <w:t>.”</w:t>
      </w:r>
    </w:p>
    <w:p w:rsidR="00343FCA" w:rsidRPr="00595E61" w:rsidRDefault="00B14A2D">
      <w:pPr>
        <w:pStyle w:val="ListParagraph"/>
        <w:numPr>
          <w:ilvl w:val="0"/>
          <w:numId w:val="2"/>
        </w:numPr>
        <w:spacing w:after="0"/>
        <w:jc w:val="both"/>
        <w:rPr>
          <w:rFonts w:cs="Times New Roman"/>
          <w:szCs w:val="28"/>
        </w:rPr>
      </w:pPr>
      <w:r w:rsidRPr="00595E61">
        <w:rPr>
          <w:szCs w:val="28"/>
        </w:rPr>
        <w:t xml:space="preserve">Papildināt </w:t>
      </w:r>
      <w:r w:rsidRPr="00595E61">
        <w:rPr>
          <w:rFonts w:cs="Times New Roman"/>
          <w:szCs w:val="28"/>
        </w:rPr>
        <w:t>3.</w:t>
      </w:r>
      <w:r w:rsidR="00343FCA" w:rsidRPr="00595E61">
        <w:rPr>
          <w:rFonts w:cs="Times New Roman"/>
          <w:szCs w:val="28"/>
        </w:rPr>
        <w:t> </w:t>
      </w:r>
      <w:r w:rsidRPr="00595E61">
        <w:rPr>
          <w:rFonts w:cs="Times New Roman"/>
          <w:szCs w:val="28"/>
        </w:rPr>
        <w:t>pielikuma II.</w:t>
      </w:r>
      <w:r w:rsidR="00343FCA" w:rsidRPr="00595E61">
        <w:rPr>
          <w:rFonts w:cs="Times New Roman"/>
          <w:szCs w:val="28"/>
        </w:rPr>
        <w:t> s</w:t>
      </w:r>
      <w:r w:rsidRPr="00595E61">
        <w:rPr>
          <w:rFonts w:cs="Times New Roman"/>
          <w:szCs w:val="28"/>
        </w:rPr>
        <w:t>adaļ</w:t>
      </w:r>
      <w:r w:rsidR="00343FCA" w:rsidRPr="00595E61">
        <w:rPr>
          <w:rFonts w:cs="Times New Roman"/>
          <w:szCs w:val="28"/>
        </w:rPr>
        <w:t xml:space="preserve">as 9.5. apakšpunktu ar 9.5.2. apakšpunktu šādā redakcijā: </w:t>
      </w:r>
    </w:p>
    <w:p w:rsidR="00343FCA" w:rsidRPr="00343FCA" w:rsidRDefault="00343FCA" w:rsidP="0043732C">
      <w:pPr>
        <w:spacing w:after="0"/>
        <w:jc w:val="both"/>
        <w:rPr>
          <w:rFonts w:eastAsia="Times New Roman" w:cs="Times New Roman"/>
          <w:b/>
          <w:bCs/>
          <w:sz w:val="24"/>
          <w:szCs w:val="24"/>
          <w:lang w:eastAsia="lv-LV"/>
        </w:rPr>
      </w:pPr>
      <w:r w:rsidRPr="00343FCA">
        <w:rPr>
          <w:rFonts w:eastAsia="Times New Roman" w:cs="Times New Roman"/>
          <w:b/>
          <w:bCs/>
          <w:sz w:val="24"/>
          <w:szCs w:val="24"/>
          <w:lang w:eastAsia="lv-LV"/>
        </w:rPr>
        <w:t>“9.5.2. Tehniskās prasības Zemes stacijām uz mobilām platformām (ESOMP) NGSO satelītu tīklā</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97"/>
        <w:gridCol w:w="2321"/>
        <w:gridCol w:w="2653"/>
        <w:gridCol w:w="2819"/>
      </w:tblGrid>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Nr. p. k.</w:t>
            </w:r>
          </w:p>
        </w:tc>
        <w:tc>
          <w:tcPr>
            <w:tcW w:w="14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Parametri</w:t>
            </w:r>
          </w:p>
        </w:tc>
        <w:tc>
          <w:tcPr>
            <w:tcW w:w="16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Apraksts</w:t>
            </w:r>
          </w:p>
        </w:tc>
        <w:tc>
          <w:tcPr>
            <w:tcW w:w="17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Papildu nosacījumi</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1.</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Radiosakaru dienests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Fiksētais satelītu dienests</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2.</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Radiosakaru sistēmas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Zemes stacija uz mobilas platformas (ESOMP)</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Attiecas uz sauszemes un jūras ESOMP iekārtām NGSO satelītu tīklā</w:t>
            </w:r>
          </w:p>
        </w:tc>
      </w:tr>
      <w:tr w:rsidR="00343FCA" w:rsidRPr="00343FCA" w:rsidTr="009C1BD4">
        <w:tc>
          <w:tcPr>
            <w:tcW w:w="300" w:type="pct"/>
            <w:vMerge w:val="restar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3.</w:t>
            </w:r>
          </w:p>
        </w:tc>
        <w:tc>
          <w:tcPr>
            <w:tcW w:w="1400" w:type="pct"/>
            <w:vMerge w:val="restar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Radiofrekvenču josla</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17,3–17,7 GHz</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r>
      <w:tr w:rsidR="00343FCA" w:rsidRPr="00343FCA" w:rsidTr="009C1BD4">
        <w:tc>
          <w:tcPr>
            <w:tcW w:w="0" w:type="auto"/>
            <w:vMerge/>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xml:space="preserve">19,7–20,2 GHz; </w:t>
            </w:r>
          </w:p>
          <w:p w:rsidR="00343FCA" w:rsidRPr="00343FCA" w:rsidRDefault="00343FCA" w:rsidP="0043732C">
            <w:pPr>
              <w:spacing w:before="100" w:beforeAutospacing="1" w:after="0" w:line="300" w:lineRule="atLeast"/>
              <w:jc w:val="both"/>
              <w:rPr>
                <w:rFonts w:eastAsia="Times New Roman" w:cs="Times New Roman"/>
                <w:sz w:val="24"/>
                <w:szCs w:val="24"/>
                <w:lang w:eastAsia="lv-LV"/>
              </w:rPr>
            </w:pPr>
            <w:r w:rsidRPr="00343FCA">
              <w:rPr>
                <w:rFonts w:eastAsia="Times New Roman" w:cs="Times New Roman"/>
                <w:sz w:val="24"/>
                <w:szCs w:val="24"/>
                <w:lang w:eastAsia="lv-LV"/>
              </w:rPr>
              <w:t>29,5–30,0 GHz</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Saskaņā ar ECC/DEC/(15)04 lēmuma lemjošās daļas 2. a punktu</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4.</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Radiokanālu plānojums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Nosaka satelītu tīkla operators</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5.</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Pārraidāmā signāla veids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Nosaka satelītu tīkla operators</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6.</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Radiosakaru trašu virzieni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xml:space="preserve">17,3–17,7 GHz un </w:t>
            </w:r>
          </w:p>
          <w:p w:rsidR="00343FCA" w:rsidRPr="00343FCA" w:rsidRDefault="00343FCA" w:rsidP="0043732C">
            <w:pPr>
              <w:spacing w:before="100" w:beforeAutospacing="1" w:after="0" w:line="300" w:lineRule="atLeast"/>
              <w:jc w:val="both"/>
              <w:rPr>
                <w:rFonts w:eastAsia="Times New Roman" w:cs="Times New Roman"/>
                <w:sz w:val="24"/>
                <w:szCs w:val="24"/>
                <w:lang w:eastAsia="lv-LV"/>
              </w:rPr>
            </w:pPr>
            <w:r w:rsidRPr="00343FCA">
              <w:rPr>
                <w:rFonts w:eastAsia="Times New Roman" w:cs="Times New Roman"/>
                <w:sz w:val="24"/>
                <w:szCs w:val="24"/>
                <w:lang w:eastAsia="lv-LV"/>
              </w:rPr>
              <w:t>19,7–20,2 GHz (izplatījums–Zeme);</w:t>
            </w:r>
          </w:p>
          <w:p w:rsidR="00343FCA" w:rsidRPr="00343FCA" w:rsidRDefault="00343FCA" w:rsidP="0043732C">
            <w:pPr>
              <w:spacing w:before="100" w:beforeAutospacing="1" w:after="0" w:line="300" w:lineRule="atLeast"/>
              <w:jc w:val="both"/>
              <w:rPr>
                <w:rFonts w:eastAsia="Times New Roman" w:cs="Times New Roman"/>
                <w:sz w:val="24"/>
                <w:szCs w:val="24"/>
                <w:lang w:eastAsia="lv-LV"/>
              </w:rPr>
            </w:pPr>
            <w:r w:rsidRPr="00343FCA">
              <w:rPr>
                <w:rFonts w:eastAsia="Times New Roman" w:cs="Times New Roman"/>
                <w:sz w:val="24"/>
                <w:szCs w:val="24"/>
                <w:lang w:eastAsia="lv-LV"/>
              </w:rPr>
              <w:t>29,5–30,0 GHz (Zeme–izplatījums)</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lastRenderedPageBreak/>
              <w:t>7.</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Raidītāja izejas (izstarotā) jauda</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lietus laikā – maksimālā e.i.r.p. 70 dBW</w:t>
            </w:r>
          </w:p>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ab/>
              <w:t xml:space="preserve">        nominālā e.i.r.p. 60,6 dBW</w:t>
            </w:r>
          </w:p>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skaidrā laikā – e.i.r.p. 61,9 dBW</w:t>
            </w:r>
            <w:r w:rsidRPr="00343FCA">
              <w:rPr>
                <w:rFonts w:eastAsia="Times New Roman" w:cs="Times New Roman"/>
                <w:sz w:val="24"/>
                <w:szCs w:val="24"/>
                <w:lang w:eastAsia="lv-LV"/>
              </w:rPr>
              <w:tab/>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Saskaņā ar lēmuma ECC/DEC/(15)04</w:t>
            </w:r>
            <w:r w:rsidRPr="00343FCA">
              <w:rPr>
                <w:rFonts w:eastAsia="Times New Roman" w:cs="Times New Roman"/>
                <w:sz w:val="24"/>
                <w:szCs w:val="24"/>
                <w:lang w:val="en-GB" w:eastAsia="lv-LV"/>
              </w:rPr>
              <w:t xml:space="preserve"> 3</w:t>
            </w:r>
            <w:r w:rsidRPr="00343FCA">
              <w:rPr>
                <w:rFonts w:eastAsia="Times New Roman" w:cs="Times New Roman"/>
                <w:sz w:val="24"/>
                <w:szCs w:val="24"/>
                <w:lang w:eastAsia="lv-LV"/>
              </w:rPr>
              <w:t>. pielikumu</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8.</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Radiokanālu izmantošanas nosacījumi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Nosaka satelītu tīkla operators</w:t>
            </w:r>
          </w:p>
        </w:tc>
      </w:tr>
      <w:tr w:rsidR="00343FCA" w:rsidRPr="00343FCA"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9.</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Radiofrekvenču plānošanas nosacījumi</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 </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343FCA" w:rsidRPr="00343FCA" w:rsidRDefault="00343FCA" w:rsidP="0043732C">
            <w:pPr>
              <w:spacing w:after="0" w:line="240" w:lineRule="auto"/>
              <w:jc w:val="both"/>
              <w:rPr>
                <w:rFonts w:eastAsia="Times New Roman" w:cs="Times New Roman"/>
                <w:sz w:val="24"/>
                <w:szCs w:val="24"/>
                <w:lang w:eastAsia="lv-LV"/>
              </w:rPr>
            </w:pPr>
            <w:r w:rsidRPr="00343FCA">
              <w:rPr>
                <w:rFonts w:eastAsia="Times New Roman" w:cs="Times New Roman"/>
                <w:sz w:val="24"/>
                <w:szCs w:val="24"/>
                <w:lang w:eastAsia="lv-LV"/>
              </w:rPr>
              <w:t>Papildu tehniskās prasības ir definētas ECC lēmumā ECC/DEC/(15)04</w:t>
            </w:r>
          </w:p>
        </w:tc>
      </w:tr>
    </w:tbl>
    <w:p w:rsidR="00343FCA" w:rsidRDefault="0069698D" w:rsidP="00222204">
      <w:pPr>
        <w:jc w:val="both"/>
        <w:rPr>
          <w:rFonts w:cs="Times New Roman"/>
          <w:szCs w:val="28"/>
        </w:rPr>
      </w:pPr>
      <w:r>
        <w:rPr>
          <w:rFonts w:cs="Times New Roman"/>
          <w:szCs w:val="28"/>
        </w:rPr>
        <w:t>.”</w:t>
      </w:r>
    </w:p>
    <w:p w:rsidR="00274A77" w:rsidRDefault="00274A77">
      <w:pPr>
        <w:spacing w:after="0"/>
        <w:jc w:val="both"/>
        <w:rPr>
          <w:rFonts w:cs="Times New Roman"/>
          <w:szCs w:val="28"/>
        </w:rPr>
      </w:pPr>
    </w:p>
    <w:p w:rsidR="00274A77" w:rsidRPr="00595E61" w:rsidRDefault="00274A77">
      <w:pPr>
        <w:pStyle w:val="ListParagraph"/>
        <w:numPr>
          <w:ilvl w:val="0"/>
          <w:numId w:val="2"/>
        </w:numPr>
        <w:spacing w:after="0"/>
        <w:jc w:val="both"/>
        <w:rPr>
          <w:rFonts w:cs="Times New Roman"/>
          <w:szCs w:val="28"/>
        </w:rPr>
      </w:pPr>
      <w:r w:rsidRPr="00595E61">
        <w:rPr>
          <w:rFonts w:cs="Times New Roman"/>
          <w:szCs w:val="28"/>
        </w:rPr>
        <w:t>Papildināt 3. </w:t>
      </w:r>
      <w:r w:rsidR="00343FCA" w:rsidRPr="00595E61">
        <w:rPr>
          <w:rFonts w:cs="Times New Roman"/>
          <w:szCs w:val="28"/>
        </w:rPr>
        <w:t xml:space="preserve">pielikuma </w:t>
      </w:r>
      <w:r w:rsidRPr="00595E61">
        <w:rPr>
          <w:rFonts w:cs="Times New Roman"/>
          <w:szCs w:val="28"/>
        </w:rPr>
        <w:t>II. </w:t>
      </w:r>
      <w:r w:rsidR="00343FCA" w:rsidRPr="00595E61">
        <w:rPr>
          <w:rFonts w:cs="Times New Roman"/>
          <w:szCs w:val="28"/>
        </w:rPr>
        <w:t>sadaļ</w:t>
      </w:r>
      <w:r w:rsidR="00B7684F" w:rsidRPr="00595E61">
        <w:rPr>
          <w:rFonts w:cs="Times New Roman"/>
          <w:szCs w:val="28"/>
        </w:rPr>
        <w:t>as</w:t>
      </w:r>
      <w:r w:rsidR="009535FD" w:rsidRPr="00595E61">
        <w:rPr>
          <w:rFonts w:cs="Times New Roman"/>
          <w:szCs w:val="28"/>
        </w:rPr>
        <w:t xml:space="preserve"> 9.punktu ar</w:t>
      </w:r>
      <w:r w:rsidR="00343FCA" w:rsidRPr="00595E61">
        <w:rPr>
          <w:rFonts w:cs="Times New Roman"/>
          <w:szCs w:val="28"/>
        </w:rPr>
        <w:t xml:space="preserve"> 9.</w:t>
      </w:r>
      <w:r w:rsidRPr="00595E61">
        <w:rPr>
          <w:rFonts w:cs="Times New Roman"/>
          <w:szCs w:val="28"/>
        </w:rPr>
        <w:t>6. </w:t>
      </w:r>
      <w:r w:rsidR="00B7684F" w:rsidRPr="00595E61">
        <w:rPr>
          <w:rFonts w:cs="Times New Roman"/>
          <w:szCs w:val="28"/>
        </w:rPr>
        <w:t>apakš</w:t>
      </w:r>
      <w:r w:rsidR="00343FCA" w:rsidRPr="00595E61">
        <w:rPr>
          <w:rFonts w:cs="Times New Roman"/>
          <w:szCs w:val="28"/>
        </w:rPr>
        <w:t xml:space="preserve">punktu </w:t>
      </w:r>
      <w:r w:rsidRPr="00595E61">
        <w:rPr>
          <w:rFonts w:cs="Times New Roman"/>
          <w:szCs w:val="28"/>
        </w:rPr>
        <w:t>šādā redakcijā:</w:t>
      </w:r>
    </w:p>
    <w:p w:rsidR="00B7684F" w:rsidRPr="00B7684F" w:rsidRDefault="00B7684F" w:rsidP="0043732C">
      <w:pPr>
        <w:spacing w:before="100" w:beforeAutospacing="1" w:after="100" w:afterAutospacing="1" w:line="300" w:lineRule="atLeast"/>
        <w:ind w:firstLine="300"/>
        <w:jc w:val="both"/>
        <w:rPr>
          <w:rFonts w:eastAsia="Times New Roman" w:cs="Times New Roman"/>
          <w:b/>
          <w:bCs/>
          <w:sz w:val="24"/>
          <w:szCs w:val="24"/>
          <w:lang w:eastAsia="lv-LV"/>
        </w:rPr>
      </w:pPr>
      <w:r>
        <w:rPr>
          <w:rFonts w:eastAsia="Times New Roman" w:cs="Times New Roman"/>
          <w:b/>
          <w:bCs/>
          <w:sz w:val="24"/>
          <w:szCs w:val="24"/>
          <w:lang w:eastAsia="lv-LV"/>
        </w:rPr>
        <w:t>“</w:t>
      </w:r>
      <w:r w:rsidRPr="00B7684F">
        <w:rPr>
          <w:rFonts w:eastAsia="Times New Roman" w:cs="Times New Roman"/>
          <w:b/>
          <w:bCs/>
          <w:sz w:val="24"/>
          <w:szCs w:val="24"/>
          <w:lang w:eastAsia="lv-LV"/>
        </w:rPr>
        <w:t>9.6. Gaisa kuģu Zemes stacijas (AES)</w:t>
      </w:r>
    </w:p>
    <w:p w:rsidR="00B7684F" w:rsidRPr="00B7684F" w:rsidRDefault="00B7684F" w:rsidP="0043732C">
      <w:pPr>
        <w:spacing w:before="100" w:beforeAutospacing="1" w:after="100" w:afterAutospacing="1" w:line="300" w:lineRule="atLeast"/>
        <w:ind w:firstLine="300"/>
        <w:jc w:val="both"/>
        <w:rPr>
          <w:rFonts w:eastAsia="Times New Roman" w:cs="Times New Roman"/>
          <w:b/>
          <w:bCs/>
          <w:sz w:val="24"/>
          <w:szCs w:val="24"/>
          <w:lang w:eastAsia="lv-LV"/>
        </w:rPr>
      </w:pPr>
      <w:r w:rsidRPr="00B7684F">
        <w:rPr>
          <w:rFonts w:eastAsia="Times New Roman" w:cs="Times New Roman"/>
          <w:b/>
          <w:bCs/>
          <w:sz w:val="24"/>
          <w:szCs w:val="24"/>
          <w:lang w:eastAsia="lv-LV"/>
        </w:rPr>
        <w:t>9.6.1. Tehniskās prasības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97"/>
        <w:gridCol w:w="2321"/>
        <w:gridCol w:w="2653"/>
        <w:gridCol w:w="2819"/>
      </w:tblGrid>
      <w:tr w:rsidR="00B7684F" w:rsidRPr="00B7684F"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Nr. p. k.</w:t>
            </w:r>
          </w:p>
        </w:tc>
        <w:tc>
          <w:tcPr>
            <w:tcW w:w="14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Parametri</w:t>
            </w:r>
          </w:p>
        </w:tc>
        <w:tc>
          <w:tcPr>
            <w:tcW w:w="16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Apraksts</w:t>
            </w:r>
          </w:p>
        </w:tc>
        <w:tc>
          <w:tcPr>
            <w:tcW w:w="17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Papildu nosacījumi</w:t>
            </w:r>
          </w:p>
        </w:tc>
      </w:tr>
      <w:tr w:rsidR="00B7684F" w:rsidRPr="00B7684F"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1.</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Radiosakaru dienests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Mobilais satelītu dienests</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 </w:t>
            </w:r>
          </w:p>
        </w:tc>
      </w:tr>
      <w:tr w:rsidR="00B7684F" w:rsidRPr="00B7684F"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2.</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Radiosakaru sistēmas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bCs/>
                <w:sz w:val="24"/>
                <w:szCs w:val="24"/>
                <w:lang w:eastAsia="lv-LV"/>
              </w:rPr>
              <w:t>Gaisa kuģu Zemes stacijas (AES)</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p>
        </w:tc>
      </w:tr>
      <w:tr w:rsidR="00B7684F" w:rsidRPr="00B7684F"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3.</w:t>
            </w:r>
          </w:p>
        </w:tc>
        <w:tc>
          <w:tcPr>
            <w:tcW w:w="14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Radiofrekvenču joslas</w:t>
            </w:r>
          </w:p>
        </w:tc>
        <w:tc>
          <w:tcPr>
            <w:tcW w:w="16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B7684F" w:rsidRDefault="00B7684F" w:rsidP="0043732C">
            <w:pPr>
              <w:pStyle w:val="ListParagraph"/>
              <w:ind w:left="0"/>
              <w:jc w:val="both"/>
              <w:rPr>
                <w:rFonts w:cs="Times New Roman"/>
                <w:sz w:val="24"/>
                <w:szCs w:val="24"/>
              </w:rPr>
            </w:pPr>
            <w:r w:rsidRPr="00B7684F">
              <w:rPr>
                <w:rFonts w:cs="Times New Roman"/>
                <w:sz w:val="24"/>
                <w:szCs w:val="24"/>
              </w:rPr>
              <w:t>10,7 – 11,7 GHz</w:t>
            </w:r>
          </w:p>
          <w:p w:rsidR="00B7684F" w:rsidRPr="00B7684F" w:rsidRDefault="00B7684F" w:rsidP="0043732C">
            <w:pPr>
              <w:pStyle w:val="ListParagraph"/>
              <w:ind w:left="0"/>
              <w:jc w:val="both"/>
              <w:rPr>
                <w:rFonts w:cs="Times New Roman"/>
                <w:sz w:val="24"/>
                <w:szCs w:val="24"/>
              </w:rPr>
            </w:pPr>
            <w:r w:rsidRPr="00B7684F">
              <w:rPr>
                <w:rFonts w:cs="Times New Roman"/>
                <w:sz w:val="24"/>
                <w:szCs w:val="24"/>
              </w:rPr>
              <w:t>12,5 – 12,75 GHz</w:t>
            </w:r>
          </w:p>
          <w:p w:rsidR="00B7684F" w:rsidRPr="00B7684F" w:rsidRDefault="00B7684F" w:rsidP="0043732C">
            <w:pPr>
              <w:pStyle w:val="ListParagraph"/>
              <w:ind w:left="0"/>
              <w:jc w:val="both"/>
              <w:rPr>
                <w:rFonts w:eastAsia="Times New Roman" w:cs="Times New Roman"/>
                <w:sz w:val="24"/>
                <w:szCs w:val="24"/>
                <w:lang w:eastAsia="lv-LV"/>
              </w:rPr>
            </w:pPr>
            <w:r w:rsidRPr="00B7684F">
              <w:rPr>
                <w:rFonts w:cs="Times New Roman"/>
                <w:sz w:val="24"/>
                <w:szCs w:val="24"/>
              </w:rPr>
              <w:t>14,0 – 14,5 GHz</w:t>
            </w:r>
          </w:p>
        </w:tc>
        <w:tc>
          <w:tcPr>
            <w:tcW w:w="1700" w:type="pct"/>
            <w:tcBorders>
              <w:top w:val="outset" w:sz="6" w:space="0" w:color="414142"/>
              <w:left w:val="outset" w:sz="6" w:space="0" w:color="414142"/>
              <w:bottom w:val="outset" w:sz="6" w:space="0" w:color="414142"/>
              <w:right w:val="outset" w:sz="6" w:space="0" w:color="414142"/>
            </w:tcBorders>
            <w:shd w:val="clear" w:color="auto" w:fill="auto"/>
            <w:hideMark/>
          </w:tcPr>
          <w:p w:rsidR="00B7684F" w:rsidRPr="00D31B66" w:rsidRDefault="00B7684F" w:rsidP="0043732C">
            <w:pPr>
              <w:pStyle w:val="ListParagraph"/>
              <w:ind w:left="0"/>
              <w:jc w:val="both"/>
              <w:rPr>
                <w:rFonts w:cs="Times New Roman"/>
                <w:sz w:val="24"/>
                <w:szCs w:val="24"/>
                <w:highlight w:val="yellow"/>
              </w:rPr>
            </w:pPr>
            <w:r w:rsidRPr="006D1B1A">
              <w:rPr>
                <w:rFonts w:cs="Times New Roman"/>
                <w:sz w:val="24"/>
                <w:szCs w:val="24"/>
              </w:rPr>
              <w:t>Iz</w:t>
            </w:r>
            <w:r w:rsidRPr="00743707">
              <w:rPr>
                <w:rFonts w:cs="Times New Roman"/>
                <w:sz w:val="24"/>
                <w:szCs w:val="24"/>
              </w:rPr>
              <w:t xml:space="preserve">platījums – Zeme </w:t>
            </w:r>
          </w:p>
          <w:p w:rsidR="00B7684F" w:rsidRPr="00B7684F" w:rsidRDefault="00B7684F" w:rsidP="0043732C">
            <w:pPr>
              <w:pStyle w:val="ListParagraph"/>
              <w:ind w:left="0"/>
              <w:jc w:val="both"/>
              <w:rPr>
                <w:rFonts w:cs="Times New Roman"/>
                <w:sz w:val="24"/>
                <w:szCs w:val="24"/>
              </w:rPr>
            </w:pPr>
            <w:r w:rsidRPr="006D1B1A">
              <w:rPr>
                <w:rFonts w:cs="Times New Roman"/>
                <w:sz w:val="24"/>
                <w:szCs w:val="24"/>
              </w:rPr>
              <w:t>Izp</w:t>
            </w:r>
            <w:r w:rsidRPr="00743707">
              <w:rPr>
                <w:rFonts w:cs="Times New Roman"/>
                <w:sz w:val="24"/>
                <w:szCs w:val="24"/>
              </w:rPr>
              <w:t>latījums</w:t>
            </w:r>
            <w:r w:rsidRPr="00B7684F">
              <w:rPr>
                <w:rFonts w:cs="Times New Roman"/>
                <w:sz w:val="24"/>
                <w:szCs w:val="24"/>
              </w:rPr>
              <w:t xml:space="preserve"> – Zeme</w:t>
            </w:r>
          </w:p>
          <w:p w:rsidR="00B7684F" w:rsidRPr="00B7684F" w:rsidRDefault="00B7684F" w:rsidP="0043732C">
            <w:pPr>
              <w:pStyle w:val="ListParagraph"/>
              <w:ind w:left="0"/>
              <w:jc w:val="both"/>
              <w:rPr>
                <w:rFonts w:eastAsia="Times New Roman" w:cs="Times New Roman"/>
                <w:sz w:val="24"/>
                <w:szCs w:val="24"/>
                <w:lang w:eastAsia="lv-LV"/>
              </w:rPr>
            </w:pPr>
            <w:r w:rsidRPr="00B7684F">
              <w:rPr>
                <w:rFonts w:cs="Times New Roman"/>
                <w:sz w:val="24"/>
                <w:szCs w:val="24"/>
              </w:rPr>
              <w:t>Zeme – izplatījums</w:t>
            </w:r>
          </w:p>
        </w:tc>
      </w:tr>
      <w:tr w:rsidR="00B7684F" w:rsidRPr="00B7684F" w:rsidTr="009C1BD4">
        <w:tc>
          <w:tcPr>
            <w:tcW w:w="300" w:type="pct"/>
            <w:tcBorders>
              <w:top w:val="outset" w:sz="6" w:space="0" w:color="414142"/>
              <w:left w:val="outset" w:sz="6" w:space="0" w:color="414142"/>
              <w:bottom w:val="outset" w:sz="6" w:space="0" w:color="414142"/>
              <w:right w:val="outset" w:sz="6" w:space="0" w:color="414142"/>
            </w:tcBorders>
            <w:shd w:val="clear" w:color="auto" w:fill="auto"/>
            <w:vAlign w:val="center"/>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eastAsia="Times New Roman" w:cs="Times New Roman"/>
                <w:sz w:val="24"/>
                <w:szCs w:val="24"/>
                <w:lang w:eastAsia="lv-LV"/>
              </w:rPr>
              <w:t>4.</w:t>
            </w:r>
          </w:p>
        </w:tc>
        <w:tc>
          <w:tcPr>
            <w:tcW w:w="1400" w:type="pct"/>
            <w:tcBorders>
              <w:top w:val="outset" w:sz="6" w:space="0" w:color="414142"/>
              <w:left w:val="outset" w:sz="6" w:space="0" w:color="414142"/>
              <w:bottom w:val="outset" w:sz="6" w:space="0" w:color="414142"/>
              <w:right w:val="outset" w:sz="6" w:space="0" w:color="414142"/>
            </w:tcBorders>
            <w:shd w:val="clear" w:color="auto" w:fill="auto"/>
          </w:tcPr>
          <w:p w:rsidR="00B7684F" w:rsidRPr="00B7684F" w:rsidRDefault="00B7684F" w:rsidP="0043732C">
            <w:pPr>
              <w:spacing w:after="0" w:line="240" w:lineRule="auto"/>
              <w:jc w:val="both"/>
              <w:rPr>
                <w:rFonts w:eastAsia="Times New Roman" w:cs="Times New Roman"/>
                <w:sz w:val="24"/>
                <w:szCs w:val="24"/>
                <w:lang w:eastAsia="lv-LV"/>
              </w:rPr>
            </w:pPr>
            <w:r w:rsidRPr="00B7684F">
              <w:rPr>
                <w:rFonts w:cs="Times New Roman"/>
                <w:sz w:val="24"/>
                <w:szCs w:val="24"/>
              </w:rPr>
              <w:t xml:space="preserve">Raidītāja izejas (izstarotā) jauda </w:t>
            </w:r>
          </w:p>
        </w:tc>
        <w:tc>
          <w:tcPr>
            <w:tcW w:w="1600" w:type="pct"/>
            <w:tcBorders>
              <w:top w:val="outset" w:sz="6" w:space="0" w:color="414142"/>
              <w:left w:val="outset" w:sz="6" w:space="0" w:color="414142"/>
              <w:bottom w:val="outset" w:sz="6" w:space="0" w:color="414142"/>
              <w:right w:val="outset" w:sz="6" w:space="0" w:color="414142"/>
            </w:tcBorders>
            <w:shd w:val="clear" w:color="auto" w:fill="auto"/>
          </w:tcPr>
          <w:p w:rsidR="00B7684F" w:rsidRPr="00B7684F" w:rsidRDefault="00B7684F" w:rsidP="0043732C">
            <w:pPr>
              <w:pStyle w:val="ListParagraph"/>
              <w:ind w:left="0"/>
              <w:jc w:val="both"/>
              <w:rPr>
                <w:rFonts w:cs="Times New Roman"/>
                <w:sz w:val="24"/>
                <w:szCs w:val="24"/>
                <w:lang w:val="en-GB"/>
              </w:rPr>
            </w:pPr>
            <w:r w:rsidRPr="00B7684F">
              <w:rPr>
                <w:rFonts w:cs="Times New Roman"/>
                <w:sz w:val="24"/>
                <w:szCs w:val="24"/>
              </w:rPr>
              <w:t>e.i.r.p. ≤ 50 dBW</w:t>
            </w:r>
          </w:p>
        </w:tc>
        <w:tc>
          <w:tcPr>
            <w:tcW w:w="1700" w:type="pct"/>
            <w:tcBorders>
              <w:top w:val="outset" w:sz="6" w:space="0" w:color="414142"/>
              <w:left w:val="outset" w:sz="6" w:space="0" w:color="414142"/>
              <w:bottom w:val="outset" w:sz="6" w:space="0" w:color="414142"/>
              <w:right w:val="outset" w:sz="6" w:space="0" w:color="414142"/>
            </w:tcBorders>
            <w:shd w:val="clear" w:color="auto" w:fill="auto"/>
          </w:tcPr>
          <w:p w:rsidR="00B7684F" w:rsidRPr="00B7684F" w:rsidRDefault="00B7684F" w:rsidP="0043732C">
            <w:pPr>
              <w:pStyle w:val="ListParagraph"/>
              <w:ind w:left="0"/>
              <w:jc w:val="both"/>
              <w:rPr>
                <w:rFonts w:cs="Times New Roman"/>
                <w:sz w:val="24"/>
                <w:szCs w:val="24"/>
              </w:rPr>
            </w:pPr>
            <w:r w:rsidRPr="00B7684F">
              <w:rPr>
                <w:rFonts w:cs="Times New Roman"/>
                <w:sz w:val="24"/>
                <w:szCs w:val="24"/>
              </w:rPr>
              <w:t>Papildu tehniskās prasības ir definētas ECC lēmumā ECC/DEC/(05)11</w:t>
            </w:r>
          </w:p>
        </w:tc>
      </w:tr>
    </w:tbl>
    <w:p w:rsidR="00274A77" w:rsidRDefault="00B7684F" w:rsidP="00222204">
      <w:pPr>
        <w:jc w:val="both"/>
        <w:rPr>
          <w:rFonts w:cs="Times New Roman"/>
          <w:sz w:val="24"/>
          <w:szCs w:val="24"/>
        </w:rPr>
      </w:pPr>
      <w:r w:rsidRPr="00B7684F">
        <w:rPr>
          <w:rFonts w:cs="Times New Roman"/>
          <w:sz w:val="24"/>
          <w:szCs w:val="24"/>
        </w:rPr>
        <w:t>.”</w:t>
      </w:r>
    </w:p>
    <w:p w:rsidR="00743707" w:rsidRDefault="00743707">
      <w:pPr>
        <w:jc w:val="both"/>
        <w:rPr>
          <w:rFonts w:cs="Times New Roman"/>
          <w:sz w:val="24"/>
          <w:szCs w:val="24"/>
        </w:rPr>
      </w:pPr>
    </w:p>
    <w:p w:rsidR="00743707" w:rsidRDefault="00743707">
      <w:pPr>
        <w:jc w:val="both"/>
        <w:rPr>
          <w:rFonts w:cs="Times New Roman"/>
          <w:sz w:val="24"/>
          <w:szCs w:val="24"/>
        </w:rPr>
      </w:pPr>
    </w:p>
    <w:p w:rsidR="00687968" w:rsidRPr="009F5CC4" w:rsidRDefault="00687968">
      <w:pPr>
        <w:pStyle w:val="naisf"/>
        <w:ind w:firstLine="0"/>
        <w:rPr>
          <w:sz w:val="28"/>
          <w:szCs w:val="28"/>
        </w:rPr>
      </w:pPr>
      <w:r w:rsidRPr="009F5CC4">
        <w:rPr>
          <w:sz w:val="28"/>
          <w:szCs w:val="28"/>
        </w:rPr>
        <w:t>Ministru prezidents</w:t>
      </w:r>
      <w:r w:rsidRPr="009F5CC4">
        <w:rPr>
          <w:sz w:val="28"/>
          <w:szCs w:val="28"/>
        </w:rPr>
        <w:tab/>
      </w:r>
      <w:r w:rsidRPr="009F5CC4">
        <w:rPr>
          <w:sz w:val="28"/>
          <w:szCs w:val="28"/>
        </w:rPr>
        <w:tab/>
      </w:r>
      <w:r w:rsidRPr="009F5CC4">
        <w:rPr>
          <w:sz w:val="28"/>
          <w:szCs w:val="28"/>
        </w:rPr>
        <w:tab/>
      </w:r>
      <w:r w:rsidRPr="009F5CC4">
        <w:rPr>
          <w:sz w:val="28"/>
          <w:szCs w:val="28"/>
        </w:rPr>
        <w:tab/>
      </w:r>
      <w:r w:rsidRPr="009F5CC4">
        <w:rPr>
          <w:sz w:val="28"/>
          <w:szCs w:val="28"/>
        </w:rPr>
        <w:tab/>
      </w:r>
      <w:r>
        <w:rPr>
          <w:sz w:val="28"/>
          <w:szCs w:val="28"/>
        </w:rPr>
        <w:tab/>
      </w:r>
      <w:r w:rsidR="00680CBA">
        <w:rPr>
          <w:sz w:val="28"/>
          <w:szCs w:val="28"/>
        </w:rPr>
        <w:t xml:space="preserve">A. </w:t>
      </w:r>
      <w:r>
        <w:rPr>
          <w:sz w:val="28"/>
          <w:szCs w:val="28"/>
        </w:rPr>
        <w:t>K</w:t>
      </w:r>
      <w:r w:rsidRPr="009F5CC4">
        <w:rPr>
          <w:sz w:val="28"/>
          <w:szCs w:val="28"/>
        </w:rPr>
        <w:t>.</w:t>
      </w:r>
      <w:r>
        <w:rPr>
          <w:sz w:val="28"/>
          <w:szCs w:val="28"/>
        </w:rPr>
        <w:t> Kariņš</w:t>
      </w:r>
    </w:p>
    <w:p w:rsidR="00687968" w:rsidRPr="009F5CC4" w:rsidRDefault="00687968">
      <w:pPr>
        <w:pStyle w:val="naisf"/>
        <w:ind w:firstLine="720"/>
        <w:rPr>
          <w:sz w:val="28"/>
          <w:szCs w:val="28"/>
        </w:rPr>
      </w:pPr>
    </w:p>
    <w:p w:rsidR="00687968" w:rsidRPr="009F5CC4" w:rsidRDefault="00687968" w:rsidP="0043732C">
      <w:pPr>
        <w:tabs>
          <w:tab w:val="left" w:pos="6804"/>
        </w:tabs>
        <w:jc w:val="both"/>
        <w:rPr>
          <w:szCs w:val="28"/>
        </w:rPr>
      </w:pPr>
      <w:r w:rsidRPr="009F5CC4">
        <w:rPr>
          <w:szCs w:val="28"/>
        </w:rPr>
        <w:t xml:space="preserve">Vides aizsardzības un </w:t>
      </w:r>
    </w:p>
    <w:p w:rsidR="00687968" w:rsidRPr="009F5CC4" w:rsidRDefault="00687968" w:rsidP="0043732C">
      <w:pPr>
        <w:tabs>
          <w:tab w:val="left" w:pos="6804"/>
        </w:tabs>
        <w:jc w:val="both"/>
        <w:rPr>
          <w:szCs w:val="28"/>
        </w:rPr>
      </w:pPr>
      <w:r>
        <w:rPr>
          <w:szCs w:val="28"/>
        </w:rPr>
        <w:lastRenderedPageBreak/>
        <w:t>reģionālās attīstības ministrs</w:t>
      </w:r>
      <w:r>
        <w:rPr>
          <w:szCs w:val="28"/>
        </w:rPr>
        <w:tab/>
      </w:r>
      <w:r>
        <w:rPr>
          <w:szCs w:val="28"/>
        </w:rPr>
        <w:tab/>
        <w:t>J</w:t>
      </w:r>
      <w:r w:rsidRPr="009F5CC4">
        <w:rPr>
          <w:szCs w:val="28"/>
        </w:rPr>
        <w:t>.</w:t>
      </w:r>
      <w:r>
        <w:rPr>
          <w:szCs w:val="28"/>
        </w:rPr>
        <w:t> Pūce</w:t>
      </w:r>
    </w:p>
    <w:p w:rsidR="00687968" w:rsidRDefault="00687968" w:rsidP="00222204">
      <w:pPr>
        <w:pStyle w:val="StyleBodyText14ptFirstline127cm"/>
        <w:spacing w:after="0"/>
        <w:ind w:firstLine="0"/>
        <w:rPr>
          <w:rFonts w:ascii="Times New Roman" w:hAnsi="Times New Roman" w:cs="Times New Roman"/>
          <w:szCs w:val="28"/>
        </w:rPr>
      </w:pPr>
    </w:p>
    <w:p w:rsidR="00743707" w:rsidRPr="00B7684F" w:rsidRDefault="00743707">
      <w:pPr>
        <w:jc w:val="both"/>
        <w:rPr>
          <w:rFonts w:cs="Times New Roman"/>
          <w:sz w:val="24"/>
          <w:szCs w:val="24"/>
        </w:rPr>
      </w:pPr>
    </w:p>
    <w:sectPr w:rsidR="00743707" w:rsidRPr="00B7684F" w:rsidSect="00BB66BF">
      <w:headerReference w:type="even" r:id="rId68"/>
      <w:headerReference w:type="default" r:id="rId69"/>
      <w:footerReference w:type="even" r:id="rId70"/>
      <w:footerReference w:type="default" r:id="rId71"/>
      <w:headerReference w:type="first" r:id="rId72"/>
      <w:footerReference w:type="first" r:id="rId73"/>
      <w:pgSz w:w="11906" w:h="16838"/>
      <w:pgMar w:top="1440" w:right="1800" w:bottom="1440" w:left="1800"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54D" w:rsidRDefault="006D254D" w:rsidP="00BB66BF">
      <w:pPr>
        <w:spacing w:after="0" w:line="240" w:lineRule="auto"/>
      </w:pPr>
      <w:r>
        <w:separator/>
      </w:r>
    </w:p>
  </w:endnote>
  <w:endnote w:type="continuationSeparator" w:id="0">
    <w:p w:rsidR="006D254D" w:rsidRDefault="006D254D" w:rsidP="00BB6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BA"/>
    <w:family w:val="swiss"/>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426" w:rsidRDefault="00AF34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4D" w:rsidRPr="00027376" w:rsidRDefault="006D254D">
    <w:pPr>
      <w:pStyle w:val="Footer"/>
      <w:rPr>
        <w:sz w:val="20"/>
        <w:szCs w:val="20"/>
      </w:rPr>
    </w:pPr>
    <w:r w:rsidRPr="00027376">
      <w:rPr>
        <w:sz w:val="20"/>
        <w:szCs w:val="20"/>
      </w:rPr>
      <w:fldChar w:fldCharType="begin"/>
    </w:r>
    <w:r w:rsidRPr="00027376">
      <w:rPr>
        <w:sz w:val="20"/>
        <w:szCs w:val="20"/>
      </w:rPr>
      <w:instrText xml:space="preserve"> FILENAME   \* MERGEFORMAT </w:instrText>
    </w:r>
    <w:r w:rsidRPr="00027376">
      <w:rPr>
        <w:sz w:val="20"/>
        <w:szCs w:val="20"/>
      </w:rPr>
      <w:fldChar w:fldCharType="separate"/>
    </w:r>
    <w:r w:rsidR="00AF3426">
      <w:rPr>
        <w:noProof/>
        <w:sz w:val="20"/>
        <w:szCs w:val="20"/>
      </w:rPr>
      <w:t>VARAMnot_290319_RFPlans</w:t>
    </w:r>
    <w:r w:rsidRPr="00027376">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4D" w:rsidRDefault="006D254D">
    <w:pPr>
      <w:pStyle w:val="Footer"/>
    </w:pPr>
    <w:r w:rsidRPr="00027376">
      <w:rPr>
        <w:sz w:val="20"/>
        <w:szCs w:val="20"/>
      </w:rPr>
      <w:fldChar w:fldCharType="begin"/>
    </w:r>
    <w:r w:rsidRPr="00027376">
      <w:rPr>
        <w:sz w:val="20"/>
        <w:szCs w:val="20"/>
      </w:rPr>
      <w:instrText xml:space="preserve"> FILENAME   \* MERGEFORMAT </w:instrText>
    </w:r>
    <w:r w:rsidRPr="00027376">
      <w:rPr>
        <w:sz w:val="20"/>
        <w:szCs w:val="20"/>
      </w:rPr>
      <w:fldChar w:fldCharType="separate"/>
    </w:r>
    <w:r w:rsidR="00AF3426">
      <w:rPr>
        <w:noProof/>
        <w:sz w:val="20"/>
        <w:szCs w:val="20"/>
      </w:rPr>
      <w:t>VARAMnot_290319_RFPlans</w:t>
    </w:r>
    <w:bookmarkStart w:id="0" w:name="_GoBack"/>
    <w:bookmarkEnd w:id="0"/>
    <w:r w:rsidRPr="0002737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54D" w:rsidRDefault="006D254D" w:rsidP="00BB66BF">
      <w:pPr>
        <w:spacing w:after="0" w:line="240" w:lineRule="auto"/>
      </w:pPr>
      <w:r>
        <w:separator/>
      </w:r>
    </w:p>
  </w:footnote>
  <w:footnote w:type="continuationSeparator" w:id="0">
    <w:p w:rsidR="006D254D" w:rsidRDefault="006D254D" w:rsidP="00BB66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426" w:rsidRDefault="00AF34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4D" w:rsidRPr="00BB66BF" w:rsidRDefault="006D254D" w:rsidP="00BB66BF">
    <w:pPr>
      <w:pStyle w:val="Header"/>
      <w:rPr>
        <w:sz w:val="24"/>
        <w:szCs w:val="24"/>
      </w:rPr>
    </w:pPr>
    <w:r>
      <w:tab/>
    </w:r>
    <w:sdt>
      <w:sdtPr>
        <w:id w:val="-849490167"/>
        <w:docPartObj>
          <w:docPartGallery w:val="Page Numbers (Top of Page)"/>
          <w:docPartUnique/>
        </w:docPartObj>
      </w:sdtPr>
      <w:sdtEndPr>
        <w:rPr>
          <w:noProof/>
          <w:sz w:val="24"/>
          <w:szCs w:val="24"/>
        </w:rPr>
      </w:sdtEndPr>
      <w:sdtContent>
        <w:r w:rsidRPr="00BB66BF">
          <w:rPr>
            <w:sz w:val="24"/>
            <w:szCs w:val="24"/>
          </w:rPr>
          <w:fldChar w:fldCharType="begin"/>
        </w:r>
        <w:r w:rsidRPr="00BB66BF">
          <w:rPr>
            <w:sz w:val="24"/>
            <w:szCs w:val="24"/>
          </w:rPr>
          <w:instrText xml:space="preserve"> PAGE   \* MERGEFORMAT </w:instrText>
        </w:r>
        <w:r w:rsidRPr="00BB66BF">
          <w:rPr>
            <w:sz w:val="24"/>
            <w:szCs w:val="24"/>
          </w:rPr>
          <w:fldChar w:fldCharType="separate"/>
        </w:r>
        <w:r w:rsidR="00AF3426">
          <w:rPr>
            <w:noProof/>
            <w:sz w:val="24"/>
            <w:szCs w:val="24"/>
          </w:rPr>
          <w:t>42</w:t>
        </w:r>
        <w:r w:rsidRPr="00BB66BF">
          <w:rPr>
            <w:noProof/>
            <w:sz w:val="24"/>
            <w:szCs w:val="24"/>
          </w:rPr>
          <w:fldChar w:fldCharType="end"/>
        </w:r>
      </w:sdtContent>
    </w:sdt>
    <w:r>
      <w:rPr>
        <w:noProof/>
        <w:sz w:val="24"/>
        <w:szCs w:val="24"/>
      </w:rPr>
      <w:tab/>
    </w:r>
  </w:p>
  <w:p w:rsidR="006D254D" w:rsidRDefault="006D25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426" w:rsidRDefault="00AF34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A33B2"/>
    <w:multiLevelType w:val="hybridMultilevel"/>
    <w:tmpl w:val="EE8C2A1C"/>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1973953"/>
    <w:multiLevelType w:val="hybridMultilevel"/>
    <w:tmpl w:val="DBA01D1E"/>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7EB3671"/>
    <w:multiLevelType w:val="hybridMultilevel"/>
    <w:tmpl w:val="4C629BA2"/>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C69"/>
    <w:rsid w:val="000171F5"/>
    <w:rsid w:val="00027376"/>
    <w:rsid w:val="00027EBD"/>
    <w:rsid w:val="000418B3"/>
    <w:rsid w:val="000947EE"/>
    <w:rsid w:val="000C3EE9"/>
    <w:rsid w:val="000D13A9"/>
    <w:rsid w:val="000F37FE"/>
    <w:rsid w:val="000F75C7"/>
    <w:rsid w:val="0012174B"/>
    <w:rsid w:val="00124799"/>
    <w:rsid w:val="0013050E"/>
    <w:rsid w:val="00153530"/>
    <w:rsid w:val="0017283D"/>
    <w:rsid w:val="001A525A"/>
    <w:rsid w:val="001C4405"/>
    <w:rsid w:val="001D050B"/>
    <w:rsid w:val="00212697"/>
    <w:rsid w:val="00213421"/>
    <w:rsid w:val="00222204"/>
    <w:rsid w:val="00227958"/>
    <w:rsid w:val="0025289E"/>
    <w:rsid w:val="00257E6E"/>
    <w:rsid w:val="0026284D"/>
    <w:rsid w:val="00274A77"/>
    <w:rsid w:val="00281F18"/>
    <w:rsid w:val="00292A54"/>
    <w:rsid w:val="002A2AE9"/>
    <w:rsid w:val="002B378F"/>
    <w:rsid w:val="002D1AA9"/>
    <w:rsid w:val="002D327E"/>
    <w:rsid w:val="002D33E2"/>
    <w:rsid w:val="002E552A"/>
    <w:rsid w:val="00334EED"/>
    <w:rsid w:val="00343FCA"/>
    <w:rsid w:val="00397D86"/>
    <w:rsid w:val="003A7403"/>
    <w:rsid w:val="003A7CFC"/>
    <w:rsid w:val="003B2BC8"/>
    <w:rsid w:val="003B473F"/>
    <w:rsid w:val="003C4C33"/>
    <w:rsid w:val="003D724F"/>
    <w:rsid w:val="003E1056"/>
    <w:rsid w:val="00401CDB"/>
    <w:rsid w:val="004075A0"/>
    <w:rsid w:val="00411A2A"/>
    <w:rsid w:val="0042732E"/>
    <w:rsid w:val="0043732C"/>
    <w:rsid w:val="0049069A"/>
    <w:rsid w:val="004B221A"/>
    <w:rsid w:val="00505881"/>
    <w:rsid w:val="00514497"/>
    <w:rsid w:val="00524450"/>
    <w:rsid w:val="005615FB"/>
    <w:rsid w:val="00575CEB"/>
    <w:rsid w:val="00595E61"/>
    <w:rsid w:val="005A01DC"/>
    <w:rsid w:val="005F0B4F"/>
    <w:rsid w:val="005F4F9A"/>
    <w:rsid w:val="006010EC"/>
    <w:rsid w:val="006035A1"/>
    <w:rsid w:val="00607998"/>
    <w:rsid w:val="00615439"/>
    <w:rsid w:val="00637055"/>
    <w:rsid w:val="00661636"/>
    <w:rsid w:val="00680CBA"/>
    <w:rsid w:val="00687968"/>
    <w:rsid w:val="0069698D"/>
    <w:rsid w:val="006A18BD"/>
    <w:rsid w:val="006A6ECA"/>
    <w:rsid w:val="006B3CF8"/>
    <w:rsid w:val="006B6EEA"/>
    <w:rsid w:val="006D1B1A"/>
    <w:rsid w:val="006D254D"/>
    <w:rsid w:val="006F2F60"/>
    <w:rsid w:val="00743707"/>
    <w:rsid w:val="0076243C"/>
    <w:rsid w:val="0076473D"/>
    <w:rsid w:val="007860AC"/>
    <w:rsid w:val="007A11E2"/>
    <w:rsid w:val="007A1DED"/>
    <w:rsid w:val="007B001B"/>
    <w:rsid w:val="007C0273"/>
    <w:rsid w:val="007C04F6"/>
    <w:rsid w:val="007C0E16"/>
    <w:rsid w:val="007C1C5A"/>
    <w:rsid w:val="007C421C"/>
    <w:rsid w:val="007D5FB8"/>
    <w:rsid w:val="00803072"/>
    <w:rsid w:val="00805822"/>
    <w:rsid w:val="00812918"/>
    <w:rsid w:val="00836550"/>
    <w:rsid w:val="0085604E"/>
    <w:rsid w:val="00867D83"/>
    <w:rsid w:val="00883561"/>
    <w:rsid w:val="008B24FA"/>
    <w:rsid w:val="008B3CC6"/>
    <w:rsid w:val="008C1B24"/>
    <w:rsid w:val="008C7D51"/>
    <w:rsid w:val="008E5BBA"/>
    <w:rsid w:val="00905531"/>
    <w:rsid w:val="009159B8"/>
    <w:rsid w:val="00915A10"/>
    <w:rsid w:val="009241FF"/>
    <w:rsid w:val="009535FD"/>
    <w:rsid w:val="0096687F"/>
    <w:rsid w:val="009A3741"/>
    <w:rsid w:val="009C1BD4"/>
    <w:rsid w:val="009C4262"/>
    <w:rsid w:val="009D111E"/>
    <w:rsid w:val="009E036A"/>
    <w:rsid w:val="00A353EA"/>
    <w:rsid w:val="00A40EFB"/>
    <w:rsid w:val="00A517A4"/>
    <w:rsid w:val="00A636A9"/>
    <w:rsid w:val="00AC4993"/>
    <w:rsid w:val="00AD565D"/>
    <w:rsid w:val="00AE5F46"/>
    <w:rsid w:val="00AF3426"/>
    <w:rsid w:val="00B0318F"/>
    <w:rsid w:val="00B1177D"/>
    <w:rsid w:val="00B14A2D"/>
    <w:rsid w:val="00B2068A"/>
    <w:rsid w:val="00B3043B"/>
    <w:rsid w:val="00B31BC7"/>
    <w:rsid w:val="00B37C09"/>
    <w:rsid w:val="00B5095D"/>
    <w:rsid w:val="00B550D2"/>
    <w:rsid w:val="00B64F6F"/>
    <w:rsid w:val="00B7684F"/>
    <w:rsid w:val="00B76F75"/>
    <w:rsid w:val="00BB27A0"/>
    <w:rsid w:val="00BB66BF"/>
    <w:rsid w:val="00BF4402"/>
    <w:rsid w:val="00C0117C"/>
    <w:rsid w:val="00C02F61"/>
    <w:rsid w:val="00C10920"/>
    <w:rsid w:val="00C76571"/>
    <w:rsid w:val="00C777B2"/>
    <w:rsid w:val="00C87AC4"/>
    <w:rsid w:val="00CA25CD"/>
    <w:rsid w:val="00CB583F"/>
    <w:rsid w:val="00CC67E7"/>
    <w:rsid w:val="00CF5C34"/>
    <w:rsid w:val="00D21712"/>
    <w:rsid w:val="00D25175"/>
    <w:rsid w:val="00D31B66"/>
    <w:rsid w:val="00D53B17"/>
    <w:rsid w:val="00D6181C"/>
    <w:rsid w:val="00D85F6C"/>
    <w:rsid w:val="00D86829"/>
    <w:rsid w:val="00D91C33"/>
    <w:rsid w:val="00D9571A"/>
    <w:rsid w:val="00DB41D7"/>
    <w:rsid w:val="00DB7CE3"/>
    <w:rsid w:val="00DC364D"/>
    <w:rsid w:val="00DD4655"/>
    <w:rsid w:val="00DE31F7"/>
    <w:rsid w:val="00E244FF"/>
    <w:rsid w:val="00E25C1B"/>
    <w:rsid w:val="00E74A25"/>
    <w:rsid w:val="00E76B1A"/>
    <w:rsid w:val="00E911C7"/>
    <w:rsid w:val="00EA02BA"/>
    <w:rsid w:val="00EA425E"/>
    <w:rsid w:val="00EA7BA5"/>
    <w:rsid w:val="00EB0050"/>
    <w:rsid w:val="00EC797B"/>
    <w:rsid w:val="00ED2C6E"/>
    <w:rsid w:val="00ED6A69"/>
    <w:rsid w:val="00EF0E41"/>
    <w:rsid w:val="00F03A88"/>
    <w:rsid w:val="00F060A1"/>
    <w:rsid w:val="00F2252F"/>
    <w:rsid w:val="00F25DD1"/>
    <w:rsid w:val="00F3198C"/>
    <w:rsid w:val="00F4457A"/>
    <w:rsid w:val="00F46CB3"/>
    <w:rsid w:val="00F5083D"/>
    <w:rsid w:val="00F52CB2"/>
    <w:rsid w:val="00F56776"/>
    <w:rsid w:val="00F700DE"/>
    <w:rsid w:val="00F71EDA"/>
    <w:rsid w:val="00F85570"/>
    <w:rsid w:val="00F964E5"/>
    <w:rsid w:val="00FA4C57"/>
    <w:rsid w:val="00FB1C69"/>
    <w:rsid w:val="00FC1F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EC40F-2EA5-408F-B001-60B79B23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CF8"/>
    <w:pPr>
      <w:spacing w:after="200" w:line="276" w:lineRule="auto"/>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CF8"/>
    <w:pPr>
      <w:ind w:left="720"/>
      <w:contextualSpacing/>
    </w:pPr>
  </w:style>
  <w:style w:type="paragraph" w:customStyle="1" w:styleId="Default">
    <w:name w:val="Default"/>
    <w:rsid w:val="0026284D"/>
    <w:pPr>
      <w:autoSpaceDE w:val="0"/>
      <w:autoSpaceDN w:val="0"/>
      <w:adjustRightInd w:val="0"/>
      <w:spacing w:after="0" w:line="240" w:lineRule="auto"/>
    </w:pPr>
    <w:rPr>
      <w:rFonts w:ascii="EUAlbertina" w:hAnsi="EUAlbertina" w:cs="EUAlbertina"/>
      <w:color w:val="000000"/>
      <w:sz w:val="24"/>
      <w:szCs w:val="24"/>
    </w:rPr>
  </w:style>
  <w:style w:type="paragraph" w:customStyle="1" w:styleId="tvhtml">
    <w:name w:val="tv_html"/>
    <w:basedOn w:val="Normal"/>
    <w:rsid w:val="00BB27A0"/>
    <w:pPr>
      <w:spacing w:before="100" w:beforeAutospacing="1" w:after="100" w:afterAutospacing="1" w:line="240" w:lineRule="auto"/>
    </w:pPr>
    <w:rPr>
      <w:rFonts w:eastAsia="Times New Roman" w:cs="Times New Roman"/>
      <w:sz w:val="24"/>
      <w:szCs w:val="24"/>
      <w:lang w:eastAsia="lv-LV"/>
    </w:rPr>
  </w:style>
  <w:style w:type="character" w:styleId="Hyperlink">
    <w:name w:val="Hyperlink"/>
    <w:basedOn w:val="DefaultParagraphFont"/>
    <w:uiPriority w:val="99"/>
    <w:semiHidden/>
    <w:unhideWhenUsed/>
    <w:rsid w:val="00BB27A0"/>
    <w:rPr>
      <w:color w:val="0000FF"/>
      <w:u w:val="single"/>
    </w:rPr>
  </w:style>
  <w:style w:type="paragraph" w:styleId="Header">
    <w:name w:val="header"/>
    <w:basedOn w:val="Normal"/>
    <w:link w:val="HeaderChar"/>
    <w:uiPriority w:val="99"/>
    <w:unhideWhenUsed/>
    <w:rsid w:val="00BB66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66BF"/>
    <w:rPr>
      <w:rFonts w:ascii="Times New Roman" w:hAnsi="Times New Roman"/>
      <w:sz w:val="28"/>
    </w:rPr>
  </w:style>
  <w:style w:type="paragraph" w:styleId="Footer">
    <w:name w:val="footer"/>
    <w:basedOn w:val="Normal"/>
    <w:link w:val="FooterChar"/>
    <w:uiPriority w:val="99"/>
    <w:unhideWhenUsed/>
    <w:rsid w:val="00BB66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66BF"/>
    <w:rPr>
      <w:rFonts w:ascii="Times New Roman" w:hAnsi="Times New Roman"/>
      <w:sz w:val="28"/>
    </w:rPr>
  </w:style>
  <w:style w:type="paragraph" w:styleId="BalloonText">
    <w:name w:val="Balloon Text"/>
    <w:basedOn w:val="Normal"/>
    <w:link w:val="BalloonTextChar"/>
    <w:uiPriority w:val="99"/>
    <w:semiHidden/>
    <w:unhideWhenUsed/>
    <w:rsid w:val="008C1B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B24"/>
    <w:rPr>
      <w:rFonts w:ascii="Segoe UI" w:hAnsi="Segoe UI" w:cs="Segoe UI"/>
      <w:sz w:val="18"/>
      <w:szCs w:val="18"/>
    </w:rPr>
  </w:style>
  <w:style w:type="paragraph" w:customStyle="1" w:styleId="naiskr">
    <w:name w:val="naiskr"/>
    <w:basedOn w:val="Normal"/>
    <w:rsid w:val="00EF0E41"/>
    <w:pPr>
      <w:spacing w:before="75" w:after="75" w:line="240" w:lineRule="auto"/>
    </w:pPr>
    <w:rPr>
      <w:rFonts w:eastAsia="Times New Roman" w:cs="Times New Roman"/>
      <w:sz w:val="24"/>
      <w:szCs w:val="24"/>
      <w:lang w:eastAsia="lv-LV"/>
    </w:rPr>
  </w:style>
  <w:style w:type="paragraph" w:customStyle="1" w:styleId="naisf">
    <w:name w:val="naisf"/>
    <w:basedOn w:val="Normal"/>
    <w:rsid w:val="00687968"/>
    <w:pPr>
      <w:spacing w:before="75" w:after="75" w:line="240" w:lineRule="auto"/>
      <w:ind w:firstLine="375"/>
      <w:jc w:val="both"/>
    </w:pPr>
    <w:rPr>
      <w:rFonts w:eastAsia="Times New Roman" w:cs="Times New Roman"/>
      <w:sz w:val="24"/>
      <w:szCs w:val="24"/>
      <w:lang w:eastAsia="lv-LV"/>
    </w:rPr>
  </w:style>
  <w:style w:type="paragraph" w:customStyle="1" w:styleId="StyleBodyText14ptFirstline127cm">
    <w:name w:val="Style Body Text + 14 pt First line:  127 cm"/>
    <w:rsid w:val="00687968"/>
    <w:pPr>
      <w:spacing w:after="120" w:line="276" w:lineRule="auto"/>
      <w:ind w:firstLine="720"/>
      <w:jc w:val="both"/>
    </w:pPr>
    <w:rPr>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87906">
      <w:bodyDiv w:val="1"/>
      <w:marLeft w:val="0"/>
      <w:marRight w:val="0"/>
      <w:marTop w:val="0"/>
      <w:marBottom w:val="0"/>
      <w:divBdr>
        <w:top w:val="none" w:sz="0" w:space="0" w:color="auto"/>
        <w:left w:val="none" w:sz="0" w:space="0" w:color="auto"/>
        <w:bottom w:val="none" w:sz="0" w:space="0" w:color="auto"/>
        <w:right w:val="none" w:sz="0" w:space="0" w:color="auto"/>
      </w:divBdr>
    </w:div>
    <w:div w:id="1098059035">
      <w:bodyDiv w:val="1"/>
      <w:marLeft w:val="0"/>
      <w:marRight w:val="0"/>
      <w:marTop w:val="0"/>
      <w:marBottom w:val="0"/>
      <w:divBdr>
        <w:top w:val="none" w:sz="0" w:space="0" w:color="auto"/>
        <w:left w:val="none" w:sz="0" w:space="0" w:color="auto"/>
        <w:bottom w:val="none" w:sz="0" w:space="0" w:color="auto"/>
        <w:right w:val="none" w:sz="0" w:space="0" w:color="auto"/>
      </w:divBdr>
    </w:div>
    <w:div w:id="1207646599">
      <w:bodyDiv w:val="1"/>
      <w:marLeft w:val="0"/>
      <w:marRight w:val="0"/>
      <w:marTop w:val="0"/>
      <w:marBottom w:val="0"/>
      <w:divBdr>
        <w:top w:val="none" w:sz="0" w:space="0" w:color="auto"/>
        <w:left w:val="none" w:sz="0" w:space="0" w:color="auto"/>
        <w:bottom w:val="none" w:sz="0" w:space="0" w:color="auto"/>
        <w:right w:val="none" w:sz="0" w:space="0" w:color="auto"/>
      </w:divBdr>
    </w:div>
    <w:div w:id="1358656987">
      <w:bodyDiv w:val="1"/>
      <w:marLeft w:val="0"/>
      <w:marRight w:val="0"/>
      <w:marTop w:val="0"/>
      <w:marBottom w:val="0"/>
      <w:divBdr>
        <w:top w:val="none" w:sz="0" w:space="0" w:color="auto"/>
        <w:left w:val="none" w:sz="0" w:space="0" w:color="auto"/>
        <w:bottom w:val="none" w:sz="0" w:space="0" w:color="auto"/>
        <w:right w:val="none" w:sz="0" w:space="0" w:color="auto"/>
      </w:divBdr>
    </w:div>
    <w:div w:id="1492791945">
      <w:bodyDiv w:val="1"/>
      <w:marLeft w:val="0"/>
      <w:marRight w:val="0"/>
      <w:marTop w:val="0"/>
      <w:marBottom w:val="0"/>
      <w:divBdr>
        <w:top w:val="none" w:sz="0" w:space="0" w:color="auto"/>
        <w:left w:val="none" w:sz="0" w:space="0" w:color="auto"/>
        <w:bottom w:val="none" w:sz="0" w:space="0" w:color="auto"/>
        <w:right w:val="none" w:sz="0" w:space="0" w:color="auto"/>
      </w:divBdr>
    </w:div>
    <w:div w:id="1539246112">
      <w:bodyDiv w:val="1"/>
      <w:marLeft w:val="0"/>
      <w:marRight w:val="0"/>
      <w:marTop w:val="0"/>
      <w:marBottom w:val="0"/>
      <w:divBdr>
        <w:top w:val="none" w:sz="0" w:space="0" w:color="auto"/>
        <w:left w:val="none" w:sz="0" w:space="0" w:color="auto"/>
        <w:bottom w:val="none" w:sz="0" w:space="0" w:color="auto"/>
        <w:right w:val="none" w:sz="0" w:space="0" w:color="auto"/>
      </w:divBdr>
    </w:div>
    <w:div w:id="1722441621">
      <w:bodyDiv w:val="1"/>
      <w:marLeft w:val="0"/>
      <w:marRight w:val="0"/>
      <w:marTop w:val="0"/>
      <w:marBottom w:val="0"/>
      <w:divBdr>
        <w:top w:val="none" w:sz="0" w:space="0" w:color="auto"/>
        <w:left w:val="none" w:sz="0" w:space="0" w:color="auto"/>
        <w:bottom w:val="none" w:sz="0" w:space="0" w:color="auto"/>
        <w:right w:val="none" w:sz="0" w:space="0" w:color="auto"/>
      </w:divBdr>
    </w:div>
    <w:div w:id="1868903947">
      <w:bodyDiv w:val="1"/>
      <w:marLeft w:val="0"/>
      <w:marRight w:val="0"/>
      <w:marTop w:val="0"/>
      <w:marBottom w:val="0"/>
      <w:divBdr>
        <w:top w:val="none" w:sz="0" w:space="0" w:color="auto"/>
        <w:left w:val="none" w:sz="0" w:space="0" w:color="auto"/>
        <w:bottom w:val="none" w:sz="0" w:space="0" w:color="auto"/>
        <w:right w:val="none" w:sz="0" w:space="0" w:color="auto"/>
      </w:divBdr>
    </w:div>
    <w:div w:id="199977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eli/dec/2017/1483/oj/?locale=LV" TargetMode="External"/><Relationship Id="rId21" Type="http://schemas.openxmlformats.org/officeDocument/2006/relationships/hyperlink" Target="http://eur-lex.europa.eu/eli/dec/2006/771/oj/?locale=LV" TargetMode="External"/><Relationship Id="rId42" Type="http://schemas.openxmlformats.org/officeDocument/2006/relationships/hyperlink" Target="http://eur-lex.europa.eu/eli/dec/2011/251/oj/?locale=LV" TargetMode="External"/><Relationship Id="rId47" Type="http://schemas.openxmlformats.org/officeDocument/2006/relationships/hyperlink" Target="http://eur-lex.europa.eu/eli/dec/2009/766/oj/?locale=LV" TargetMode="External"/><Relationship Id="rId63" Type="http://schemas.openxmlformats.org/officeDocument/2006/relationships/hyperlink" Target="http://eur-lex.europa.eu/eli/dec_impl/2018/661/oj/?locale=LV" TargetMode="External"/><Relationship Id="rId6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ur-lex.europa.eu/eli/dec/2006/771/oj/?locale=LV" TargetMode="External"/><Relationship Id="rId29" Type="http://schemas.openxmlformats.org/officeDocument/2006/relationships/hyperlink" Target="http://eur-lex.europa.eu/eli/dec/2010/166/oj/?locale=LV" TargetMode="External"/><Relationship Id="rId11" Type="http://schemas.openxmlformats.org/officeDocument/2006/relationships/hyperlink" Target="http://eur-lex.europa.eu/eli/dec/2006/771/oj/?locale=LV" TargetMode="External"/><Relationship Id="rId24" Type="http://schemas.openxmlformats.org/officeDocument/2006/relationships/hyperlink" Target="http://eur-lex.europa.eu/eli/dec/2006/771/oj/?locale=LV" TargetMode="External"/><Relationship Id="rId32" Type="http://schemas.openxmlformats.org/officeDocument/2006/relationships/hyperlink" Target="http://eur-lex.europa.eu/eli/dec_impl/2018/637/oj/?locale=LV" TargetMode="External"/><Relationship Id="rId37" Type="http://schemas.openxmlformats.org/officeDocument/2006/relationships/hyperlink" Target="http://eur-lex.europa.eu/eli/dec/2009/766/oj/?locale=LV" TargetMode="External"/><Relationship Id="rId40" Type="http://schemas.openxmlformats.org/officeDocument/2006/relationships/hyperlink" Target="http://eur-lex.europa.eu/eli/dec/2009/766/oj/?locale=LV" TargetMode="External"/><Relationship Id="rId45" Type="http://schemas.openxmlformats.org/officeDocument/2006/relationships/hyperlink" Target="http://eur-lex.europa.eu/eli/dec/2010/166/oj/?locale=LV" TargetMode="External"/><Relationship Id="rId53" Type="http://schemas.openxmlformats.org/officeDocument/2006/relationships/hyperlink" Target="https://likumi.lv/ta/id/284085-radioamatieru-radiostaciju-buvesanas-ierikosanas-un-lietosanas-ka-ari-radioamatieru-apliecibas-sanemsanas-kartiba" TargetMode="External"/><Relationship Id="rId58" Type="http://schemas.openxmlformats.org/officeDocument/2006/relationships/hyperlink" Target="https://likumi.lv/ta/id/284085-radioamatieru-radiostaciju-buvesanas-ierikosanas-un-lietosanas-ka-ari-radioamatieru-apliecibas-sanemsanas-kartiba" TargetMode="External"/><Relationship Id="rId66" Type="http://schemas.openxmlformats.org/officeDocument/2006/relationships/hyperlink" Target="http://eur-lex.europa.eu/eli/dec_impl/2018/661/oj/?locale=LV" TargetMode="External"/><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eur-lex.europa.eu/eli/dec_impl/2018/661/oj/?locale=LV" TargetMode="External"/><Relationship Id="rId19" Type="http://schemas.openxmlformats.org/officeDocument/2006/relationships/hyperlink" Target="http://eur-lex.europa.eu/eli/dec/2005/928/oj/?locale=LV" TargetMode="External"/><Relationship Id="rId14" Type="http://schemas.openxmlformats.org/officeDocument/2006/relationships/hyperlink" Target="http://eur-lex.europa.eu/eli/dec/2006/771/oj/?locale=LV" TargetMode="External"/><Relationship Id="rId22" Type="http://schemas.openxmlformats.org/officeDocument/2006/relationships/hyperlink" Target="http://eur-lex.europa.eu/eli/dec/2006/771/oj/?locale=LV" TargetMode="External"/><Relationship Id="rId27" Type="http://schemas.openxmlformats.org/officeDocument/2006/relationships/hyperlink" Target="http://eur-lex.europa.eu/eli/dec/2006/771/oj/?locale=LV" TargetMode="External"/><Relationship Id="rId30" Type="http://schemas.openxmlformats.org/officeDocument/2006/relationships/hyperlink" Target="http://eur-lex.europa.eu/eli/dec/2011/251/oj/?locale=LV" TargetMode="External"/><Relationship Id="rId35" Type="http://schemas.openxmlformats.org/officeDocument/2006/relationships/hyperlink" Target="http://eur-lex.europa.eu/eli/dec/2010/166/oj/?locale=LV" TargetMode="External"/><Relationship Id="rId43" Type="http://schemas.openxmlformats.org/officeDocument/2006/relationships/hyperlink" Target="http://eur-lex.europa.eu/eli/dec/2009/766/oj/?locale=LV" TargetMode="External"/><Relationship Id="rId48" Type="http://schemas.openxmlformats.org/officeDocument/2006/relationships/hyperlink" Target="http://eur-lex.europa.eu/eli/dec_impl/2018/661/oj/?locale=LV" TargetMode="External"/><Relationship Id="rId56" Type="http://schemas.openxmlformats.org/officeDocument/2006/relationships/hyperlink" Target="http://eur-lex.europa.eu/eli/dec/2008/411/oj/?locale=LV" TargetMode="External"/><Relationship Id="rId64" Type="http://schemas.openxmlformats.org/officeDocument/2006/relationships/hyperlink" Target="http://eur-lex.europa.eu/eli/dec_impl/2018/661/oj/?locale=LV" TargetMode="External"/><Relationship Id="rId69" Type="http://schemas.openxmlformats.org/officeDocument/2006/relationships/header" Target="header2.xml"/><Relationship Id="rId8" Type="http://schemas.openxmlformats.org/officeDocument/2006/relationships/hyperlink" Target="http://eur-lex.europa.eu/eli/dec/2014/641/oj/?locale=LV" TargetMode="External"/><Relationship Id="rId51" Type="http://schemas.openxmlformats.org/officeDocument/2006/relationships/hyperlink" Target="http://eur-lex.europa.eu/eli/dec_impl/2014/276/oj/?locale=LV" TargetMode="External"/><Relationship Id="rId72"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http://eur-lex.europa.eu/eli/dec/2005/928/oj/?locale=LV" TargetMode="External"/><Relationship Id="rId17" Type="http://schemas.openxmlformats.org/officeDocument/2006/relationships/hyperlink" Target="http://eur-lex.europa.eu/eli/dec/2013/752/oj/?locale=LV" TargetMode="External"/><Relationship Id="rId25" Type="http://schemas.openxmlformats.org/officeDocument/2006/relationships/hyperlink" Target="http://eur-lex.europa.eu/eli/dec/2005/928/oj/?locale=LV" TargetMode="External"/><Relationship Id="rId33" Type="http://schemas.openxmlformats.org/officeDocument/2006/relationships/hyperlink" Target="http://eur-lex.europa.eu/eli/dec/2009/766/oj/?locale=LV" TargetMode="External"/><Relationship Id="rId38" Type="http://schemas.openxmlformats.org/officeDocument/2006/relationships/hyperlink" Target="http://eur-lex.europa.eu/eli/dec_impl/2018/637/oj/?locale=LV" TargetMode="External"/><Relationship Id="rId46" Type="http://schemas.openxmlformats.org/officeDocument/2006/relationships/hyperlink" Target="http://eur-lex.europa.eu/eli/dec/2011/251/oj/?locale=LV" TargetMode="External"/><Relationship Id="rId59" Type="http://schemas.openxmlformats.org/officeDocument/2006/relationships/hyperlink" Target="http://eur-lex.europa.eu/eli/dec_impl/2018/661/oj/?locale=LV" TargetMode="External"/><Relationship Id="rId67" Type="http://schemas.openxmlformats.org/officeDocument/2006/relationships/hyperlink" Target="http://eur-lex.europa.eu/eli/dec_impl/2018/661/oj/?locale=LV" TargetMode="External"/><Relationship Id="rId20" Type="http://schemas.openxmlformats.org/officeDocument/2006/relationships/hyperlink" Target="http://eur-lex.europa.eu/eli/dec/2017/1483/oj/?locale=LV" TargetMode="External"/><Relationship Id="rId41" Type="http://schemas.openxmlformats.org/officeDocument/2006/relationships/hyperlink" Target="http://eur-lex.europa.eu/eli/dec/2010/166/oj/?locale=LV" TargetMode="External"/><Relationship Id="rId54" Type="http://schemas.openxmlformats.org/officeDocument/2006/relationships/hyperlink" Target="http://eur-lex.europa.eu/eli/dec/2008/411/oj/?locale=LV" TargetMode="External"/><Relationship Id="rId62" Type="http://schemas.openxmlformats.org/officeDocument/2006/relationships/hyperlink" Target="http://eur-lex.europa.eu/eli/dec_impl/2018/661/oj/?locale=LV"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ur-lex.europa.eu/eli/dec/2006/804/oj/?locale=LV" TargetMode="External"/><Relationship Id="rId23" Type="http://schemas.openxmlformats.org/officeDocument/2006/relationships/hyperlink" Target="http://eur-lex.europa.eu/eli/dec/2013/752/oj/?locale=LV" TargetMode="External"/><Relationship Id="rId28" Type="http://schemas.openxmlformats.org/officeDocument/2006/relationships/hyperlink" Target="http://eur-lex.europa.eu/eli/dec/2009/766/oj/?locale=LV" TargetMode="External"/><Relationship Id="rId36" Type="http://schemas.openxmlformats.org/officeDocument/2006/relationships/hyperlink" Target="http://eur-lex.europa.eu/eli/dec/2011/251/oj/?locale=LV" TargetMode="External"/><Relationship Id="rId49" Type="http://schemas.openxmlformats.org/officeDocument/2006/relationships/hyperlink" Target="http://eur-lex.europa.eu/eli/dec_impl/2018/661/oj/?locale=LV" TargetMode="External"/><Relationship Id="rId57" Type="http://schemas.openxmlformats.org/officeDocument/2006/relationships/hyperlink" Target="https://likumi.lv/ta/id/284085-radioamatieru-radiostaciju-buvesanas-ierikosanas-un-lietosanas-ka-ari-radioamatieru-apliecibas-sanemsanas-kartiba" TargetMode="External"/><Relationship Id="rId10" Type="http://schemas.openxmlformats.org/officeDocument/2006/relationships/hyperlink" Target="http://eur-lex.europa.eu/eli/dec/2013/752/oj/?locale=LV" TargetMode="External"/><Relationship Id="rId31" Type="http://schemas.openxmlformats.org/officeDocument/2006/relationships/hyperlink" Target="http://eur-lex.europa.eu/eli/dec/2009/766/oj/?locale=LV" TargetMode="External"/><Relationship Id="rId44" Type="http://schemas.openxmlformats.org/officeDocument/2006/relationships/hyperlink" Target="http://eur-lex.europa.eu/eli/dec/2009/766/oj/?locale=LV" TargetMode="External"/><Relationship Id="rId52" Type="http://schemas.openxmlformats.org/officeDocument/2006/relationships/hyperlink" Target="http://eur-lex.europa.eu/eli/dec/2008/411/oj/?locale=LV" TargetMode="External"/><Relationship Id="rId60" Type="http://schemas.openxmlformats.org/officeDocument/2006/relationships/hyperlink" Target="http://eur-lex.europa.eu/eli/dec_impl/2018/661/oj/?locale=LV" TargetMode="External"/><Relationship Id="rId65" Type="http://schemas.openxmlformats.org/officeDocument/2006/relationships/hyperlink" Target="http://eur-lex.europa.eu/eli/dec_impl/2018/661/oj/?locale=LV" TargetMode="External"/><Relationship Id="rId73"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eur-lex.europa.eu/eli/dec/2006/771/oj/?locale=LV" TargetMode="External"/><Relationship Id="rId13" Type="http://schemas.openxmlformats.org/officeDocument/2006/relationships/hyperlink" Target="http://eur-lex.europa.eu/eli/dec/2017/1483/oj/?locale=LV" TargetMode="External"/><Relationship Id="rId18" Type="http://schemas.openxmlformats.org/officeDocument/2006/relationships/hyperlink" Target="http://eur-lex.europa.eu/eli/dec/2006/771/oj/?locale=LV" TargetMode="External"/><Relationship Id="rId39" Type="http://schemas.openxmlformats.org/officeDocument/2006/relationships/hyperlink" Target="http://eur-lex.europa.eu/eli/dec/2009/766/oj/?locale=LV" TargetMode="External"/><Relationship Id="rId34" Type="http://schemas.openxmlformats.org/officeDocument/2006/relationships/hyperlink" Target="http://eur-lex.europa.eu/eli/dec/2009/766/oj/?locale=LV" TargetMode="External"/><Relationship Id="rId50" Type="http://schemas.openxmlformats.org/officeDocument/2006/relationships/hyperlink" Target="http://eur-lex.europa.eu/eli/dec/2008/411/oj/?locale=LV" TargetMode="External"/><Relationship Id="rId55" Type="http://schemas.openxmlformats.org/officeDocument/2006/relationships/hyperlink" Target="http://eur-lex.europa.eu/eli/dec_impl/2014/276/oj/?locale=LV" TargetMode="External"/><Relationship Id="rId7" Type="http://schemas.openxmlformats.org/officeDocument/2006/relationships/hyperlink" Target="http://eur-lex.europa.eu/eli/dec/2014/641/oj/?locale=LV" TargetMode="External"/><Relationship Id="rId7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42</Pages>
  <Words>41737</Words>
  <Characters>23791</Characters>
  <Application>Microsoft Office Word</Application>
  <DocSecurity>0</DocSecurity>
  <Lines>198</Lines>
  <Paragraphs>130</Paragraphs>
  <ScaleCrop>false</ScaleCrop>
  <HeadingPairs>
    <vt:vector size="2" baseType="variant">
      <vt:variant>
        <vt:lpstr>Title</vt:lpstr>
      </vt:variant>
      <vt:variant>
        <vt:i4>1</vt:i4>
      </vt:variant>
    </vt:vector>
  </HeadingPairs>
  <TitlesOfParts>
    <vt:vector size="1" baseType="lpstr">
      <vt:lpstr>Nacionālais radiofrekvenču plāns</vt:lpstr>
    </vt:vector>
  </TitlesOfParts>
  <Company/>
  <LinksUpToDate>false</LinksUpToDate>
  <CharactersWithSpaces>65398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Nacionālais radiofrekvenču plāns</dc:title>
  <dc:subject>noteikumu projekts</dc:subject>
  <dc:creator>VARAM</dc:creator>
  <cp:keywords/>
  <dc:description>A.Vāvere_x000d_
tālrunis: 67026936_x000d_
Aija.Vavere@varam.gov.lv</dc:description>
  <cp:lastModifiedBy>Aija Vāvere</cp:lastModifiedBy>
  <cp:revision>4</cp:revision>
  <dcterms:created xsi:type="dcterms:W3CDTF">2019-03-29T12:17:00Z</dcterms:created>
  <dcterms:modified xsi:type="dcterms:W3CDTF">2019-03-29T12:23:00Z</dcterms:modified>
</cp:coreProperties>
</file>