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13" w:rsidRPr="008D5D14" w:rsidRDefault="005E3C13" w:rsidP="005E3C1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8D5D14">
        <w:rPr>
          <w:rFonts w:ascii="Times New Roman" w:hAnsi="Times New Roman"/>
          <w:sz w:val="28"/>
          <w:szCs w:val="28"/>
        </w:rPr>
        <w:t>LATVIJAS REPUBLIKAS MINISTRU KABINETS</w:t>
      </w:r>
      <w:proofErr w:type="gramEnd"/>
    </w:p>
    <w:p w:rsidR="005E3C13" w:rsidRPr="008D5D14" w:rsidRDefault="005E3C13" w:rsidP="005E3C13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proofErr w:type="gramStart"/>
      <w:r>
        <w:rPr>
          <w:sz w:val="28"/>
          <w:szCs w:val="28"/>
          <w:lang w:val="lv-LV"/>
        </w:rPr>
        <w:t>2017</w:t>
      </w:r>
      <w:r w:rsidRPr="008D5D14">
        <w:rPr>
          <w:sz w:val="28"/>
          <w:szCs w:val="28"/>
          <w:lang w:val="lv-LV"/>
        </w:rPr>
        <w:t>.gada</w:t>
      </w:r>
      <w:proofErr w:type="gramEnd"/>
      <w:r w:rsidRPr="008D5D14">
        <w:rPr>
          <w:sz w:val="28"/>
          <w:szCs w:val="28"/>
          <w:lang w:val="lv-LV"/>
        </w:rPr>
        <w:t>__________</w:t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</w:r>
      <w:r w:rsidRPr="008D5D14">
        <w:rPr>
          <w:sz w:val="28"/>
          <w:szCs w:val="28"/>
          <w:lang w:val="lv-LV"/>
        </w:rPr>
        <w:tab/>
        <w:t xml:space="preserve"> Noteikumi Nr._____</w:t>
      </w:r>
    </w:p>
    <w:p w:rsidR="005E3C13" w:rsidRPr="008D5D14" w:rsidRDefault="005E3C13" w:rsidP="005E3C13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Rīgā 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proofErr w:type="gramStart"/>
      <w:r>
        <w:rPr>
          <w:sz w:val="28"/>
          <w:szCs w:val="28"/>
          <w:lang w:val="lv-LV"/>
        </w:rPr>
        <w:t xml:space="preserve">      </w:t>
      </w:r>
      <w:proofErr w:type="gramEnd"/>
      <w:r w:rsidRPr="008D5D14">
        <w:rPr>
          <w:sz w:val="28"/>
          <w:szCs w:val="28"/>
          <w:lang w:val="lv-LV"/>
        </w:rPr>
        <w:t>(prot. Nr.              )</w:t>
      </w:r>
    </w:p>
    <w:p w:rsidR="005E3C13" w:rsidRPr="008D5D14" w:rsidRDefault="005E3C13" w:rsidP="005E3C13">
      <w:pPr>
        <w:spacing w:after="0" w:line="240" w:lineRule="auto"/>
        <w:jc w:val="both"/>
        <w:rPr>
          <w:rStyle w:val="Strong"/>
          <w:b w:val="0"/>
          <w:sz w:val="28"/>
          <w:szCs w:val="28"/>
        </w:rPr>
      </w:pPr>
    </w:p>
    <w:p w:rsidR="005E3C13" w:rsidRPr="008D5D14" w:rsidRDefault="005E3C13" w:rsidP="005E3C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D14">
        <w:rPr>
          <w:rFonts w:ascii="Times New Roman" w:hAnsi="Times New Roman"/>
          <w:b/>
          <w:sz w:val="28"/>
          <w:szCs w:val="28"/>
        </w:rPr>
        <w:t>Grozījumi Ministru kabineta 2013.</w:t>
      </w:r>
      <w:r>
        <w:rPr>
          <w:rFonts w:ascii="Times New Roman" w:hAnsi="Times New Roman"/>
          <w:b/>
          <w:sz w:val="28"/>
          <w:szCs w:val="28"/>
        </w:rPr>
        <w:t> </w:t>
      </w:r>
      <w:r w:rsidRPr="008D5D14">
        <w:rPr>
          <w:rFonts w:ascii="Times New Roman" w:hAnsi="Times New Roman"/>
          <w:b/>
          <w:sz w:val="28"/>
          <w:szCs w:val="28"/>
        </w:rPr>
        <w:t>gada 5.</w:t>
      </w:r>
      <w:r>
        <w:rPr>
          <w:rFonts w:ascii="Times New Roman" w:hAnsi="Times New Roman"/>
          <w:b/>
          <w:sz w:val="28"/>
          <w:szCs w:val="28"/>
        </w:rPr>
        <w:t> </w:t>
      </w:r>
      <w:r w:rsidRPr="008D5D14">
        <w:rPr>
          <w:rFonts w:ascii="Times New Roman" w:hAnsi="Times New Roman"/>
          <w:b/>
          <w:sz w:val="28"/>
          <w:szCs w:val="28"/>
        </w:rPr>
        <w:t>februāra noteikumos Nr.</w:t>
      </w:r>
      <w:r>
        <w:rPr>
          <w:rFonts w:ascii="Times New Roman" w:hAnsi="Times New Roman"/>
          <w:b/>
          <w:sz w:val="28"/>
          <w:szCs w:val="28"/>
        </w:rPr>
        <w:t> </w:t>
      </w:r>
      <w:r w:rsidRPr="008D5D14">
        <w:rPr>
          <w:rFonts w:ascii="Times New Roman" w:hAnsi="Times New Roman"/>
          <w:b/>
          <w:sz w:val="28"/>
          <w:szCs w:val="28"/>
        </w:rPr>
        <w:t>84 „Noteikumi par atsevišķu ķīmisku vielu lietošanas ierobežojumiem elektriskajās un elektroniskajās iekārtās”</w:t>
      </w:r>
    </w:p>
    <w:p w:rsidR="005E3C13" w:rsidRPr="008D5D14" w:rsidRDefault="005E3C13" w:rsidP="005E3C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3C13" w:rsidRPr="008D5D14" w:rsidRDefault="005E3C13" w:rsidP="005E3C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 xml:space="preserve">Izdoti saskaņā ar </w:t>
      </w:r>
    </w:p>
    <w:p w:rsidR="005E3C13" w:rsidRPr="008D5D14" w:rsidRDefault="005E3C13" w:rsidP="005E3C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>Ķīmisko vielu likuma 16.</w:t>
      </w:r>
      <w:r>
        <w:rPr>
          <w:rFonts w:ascii="Times New Roman" w:hAnsi="Times New Roman"/>
          <w:sz w:val="28"/>
          <w:szCs w:val="28"/>
        </w:rPr>
        <w:t> </w:t>
      </w:r>
      <w:r w:rsidRPr="008D5D14">
        <w:rPr>
          <w:rFonts w:ascii="Times New Roman" w:hAnsi="Times New Roman"/>
          <w:sz w:val="28"/>
          <w:szCs w:val="28"/>
        </w:rPr>
        <w:t xml:space="preserve">panta otro daļu </w:t>
      </w:r>
    </w:p>
    <w:p w:rsidR="005E3C13" w:rsidRPr="008D5D14" w:rsidRDefault="005E3C13" w:rsidP="005E3C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>un</w:t>
      </w:r>
    </w:p>
    <w:p w:rsidR="005E3C13" w:rsidRPr="008D5D14" w:rsidRDefault="005E3C13" w:rsidP="005E3C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 xml:space="preserve">likuma „Par atbilstības novērtēšanu” </w:t>
      </w:r>
    </w:p>
    <w:p w:rsidR="005E3C13" w:rsidRPr="008D5D14" w:rsidRDefault="005E3C13" w:rsidP="005E3C13">
      <w:pPr>
        <w:spacing w:after="0" w:line="240" w:lineRule="auto"/>
        <w:jc w:val="right"/>
        <w:rPr>
          <w:rStyle w:val="Strong"/>
          <w:b w:val="0"/>
          <w:bCs w:val="0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 </w:t>
      </w:r>
      <w:r w:rsidRPr="008D5D14">
        <w:rPr>
          <w:rFonts w:ascii="Times New Roman" w:hAnsi="Times New Roman"/>
          <w:sz w:val="28"/>
          <w:szCs w:val="28"/>
        </w:rPr>
        <w:t>panta pirmo daļu</w:t>
      </w:r>
    </w:p>
    <w:p w:rsidR="005E3C13" w:rsidRPr="008D5D14" w:rsidRDefault="005E3C13" w:rsidP="005E3C13">
      <w:pPr>
        <w:spacing w:after="0" w:line="240" w:lineRule="auto"/>
        <w:jc w:val="both"/>
        <w:rPr>
          <w:rStyle w:val="Strong"/>
          <w:b w:val="0"/>
          <w:sz w:val="28"/>
          <w:szCs w:val="28"/>
        </w:rPr>
      </w:pPr>
    </w:p>
    <w:p w:rsidR="005E3C13" w:rsidRDefault="005E3C13" w:rsidP="005E3C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5D14">
        <w:rPr>
          <w:rFonts w:ascii="Times New Roman" w:hAnsi="Times New Roman"/>
          <w:sz w:val="28"/>
          <w:szCs w:val="28"/>
        </w:rPr>
        <w:t>Izdarīt Ministru kabineta 2013.</w:t>
      </w:r>
      <w:r>
        <w:rPr>
          <w:rFonts w:ascii="Times New Roman" w:hAnsi="Times New Roman"/>
          <w:sz w:val="28"/>
          <w:szCs w:val="28"/>
        </w:rPr>
        <w:t> </w:t>
      </w:r>
      <w:r w:rsidRPr="008D5D14">
        <w:rPr>
          <w:rFonts w:ascii="Times New Roman" w:hAnsi="Times New Roman"/>
          <w:sz w:val="28"/>
          <w:szCs w:val="28"/>
        </w:rPr>
        <w:t>gada 5.</w:t>
      </w:r>
      <w:r>
        <w:rPr>
          <w:rFonts w:ascii="Times New Roman" w:hAnsi="Times New Roman"/>
          <w:sz w:val="28"/>
          <w:szCs w:val="28"/>
        </w:rPr>
        <w:t> </w:t>
      </w:r>
      <w:r w:rsidRPr="008D5D14">
        <w:rPr>
          <w:rFonts w:ascii="Times New Roman" w:hAnsi="Times New Roman"/>
          <w:sz w:val="28"/>
          <w:szCs w:val="28"/>
        </w:rPr>
        <w:t>februāra noteikumos Nr.</w:t>
      </w:r>
      <w:r>
        <w:rPr>
          <w:rFonts w:ascii="Times New Roman" w:hAnsi="Times New Roman"/>
          <w:sz w:val="28"/>
          <w:szCs w:val="28"/>
        </w:rPr>
        <w:t> </w:t>
      </w:r>
      <w:r w:rsidRPr="008D5D14">
        <w:rPr>
          <w:rFonts w:ascii="Times New Roman" w:hAnsi="Times New Roman"/>
          <w:sz w:val="28"/>
          <w:szCs w:val="28"/>
        </w:rPr>
        <w:t>84 „Noteikumi par atsevišķu ķīmisku vielu lietošanas ierobežojumiem elektriskajās un elektroniskajās iekārtās” (Latvijas Vēstnesis, 2013, 47.nr.; 2014, 109.nr.</w:t>
      </w:r>
      <w:r>
        <w:rPr>
          <w:rFonts w:ascii="Times New Roman" w:hAnsi="Times New Roman"/>
          <w:sz w:val="28"/>
          <w:szCs w:val="28"/>
        </w:rPr>
        <w:t>; 2014, 210.nr.; 2016, 14.nr.; 2017, 56.nr.</w:t>
      </w:r>
      <w:r w:rsidRPr="008D5D14">
        <w:rPr>
          <w:rFonts w:ascii="Times New Roman" w:hAnsi="Times New Roman"/>
          <w:sz w:val="28"/>
          <w:szCs w:val="28"/>
        </w:rPr>
        <w:t>) šādus grozījumus:</w:t>
      </w:r>
    </w:p>
    <w:p w:rsidR="005E3C13" w:rsidRPr="00AA1FC6" w:rsidRDefault="005E3C13" w:rsidP="005E3C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D6C3A" w:rsidRDefault="005E3C13" w:rsidP="005E3C13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</w:pPr>
      <w:r w:rsidRPr="00EF7864"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>Papildināt Informatīvo atsauci uz Eiropas Savienības direktīvām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 xml:space="preserve"> ar 34., 35. un 36. punktu</w:t>
      </w:r>
      <w:r w:rsidRPr="00EF7864"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 xml:space="preserve"> šādā redakcijā:</w:t>
      </w:r>
    </w:p>
    <w:p w:rsidR="005E3C13" w:rsidRDefault="005E3C13" w:rsidP="00FA7962">
      <w:pPr>
        <w:spacing w:after="0" w:line="240" w:lineRule="auto"/>
        <w:jc w:val="both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>“</w:t>
      </w: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 xml:space="preserve">34) </w:t>
      </w:r>
      <w:r w:rsidRPr="005E3C13">
        <w:rPr>
          <w:rStyle w:val="Strong"/>
          <w:rFonts w:ascii="Times New Roman" w:hAnsi="Times New Roman" w:cs="Times New Roman"/>
          <w:b w:val="0"/>
          <w:sz w:val="28"/>
          <w:szCs w:val="24"/>
        </w:rPr>
        <w:t>Komisijas 2017. gada 13. marta Deleģētās direktīvas (ES) 2017/1009, ar ko, pielāgojot zinātnes un tehnikas attīstībai, groza Eiropas Parlamenta un Padomes Direktīvas 2011/65/ES III pielikumu attiecībā uz atbrīvojumu kadmija un svina lietošanai stikla filtros un stiklos, ko izmanto atstarošanas standartiem;</w:t>
      </w:r>
    </w:p>
    <w:p w:rsidR="005E3C13" w:rsidRPr="005E3C13" w:rsidRDefault="005E3C13" w:rsidP="00FA7962">
      <w:pPr>
        <w:spacing w:after="0" w:line="240" w:lineRule="auto"/>
        <w:jc w:val="both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</w:p>
    <w:p w:rsidR="005E3C13" w:rsidRDefault="005E3C13" w:rsidP="00FA7962">
      <w:pPr>
        <w:spacing w:after="0" w:line="240" w:lineRule="auto"/>
        <w:jc w:val="both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  <w:r w:rsidRPr="005E3C13">
        <w:rPr>
          <w:rStyle w:val="Strong"/>
          <w:rFonts w:ascii="Times New Roman" w:hAnsi="Times New Roman" w:cs="Times New Roman"/>
          <w:b w:val="0"/>
          <w:sz w:val="28"/>
          <w:szCs w:val="24"/>
        </w:rPr>
        <w:t xml:space="preserve">35) Komisijas 2017. gada 13. marta Deleģētās direktīvas (ES) 2017/1010, ar ko, pielāgojot zinātnes un tehnikas attīstībai, groza Eiropas Parlamenta un Padomes Direktīvas 2011/65/ES III pielikumu attiecībā uz atbrīvojumu svina lietošanai gultņu ieliktņos un buksēs, kas paredzētas dažiem kompresoriem ar </w:t>
      </w:r>
      <w:proofErr w:type="spellStart"/>
      <w:r w:rsidRPr="005E3C13">
        <w:rPr>
          <w:rStyle w:val="Strong"/>
          <w:rFonts w:ascii="Times New Roman" w:hAnsi="Times New Roman" w:cs="Times New Roman"/>
          <w:b w:val="0"/>
          <w:sz w:val="28"/>
          <w:szCs w:val="24"/>
        </w:rPr>
        <w:t>aukstumnesēju</w:t>
      </w:r>
      <w:proofErr w:type="spellEnd"/>
      <w:r w:rsidRPr="005E3C13">
        <w:rPr>
          <w:rStyle w:val="Strong"/>
          <w:rFonts w:ascii="Times New Roman" w:hAnsi="Times New Roman" w:cs="Times New Roman"/>
          <w:b w:val="0"/>
          <w:sz w:val="28"/>
          <w:szCs w:val="24"/>
        </w:rPr>
        <w:t>;</w:t>
      </w:r>
    </w:p>
    <w:p w:rsidR="005E3C13" w:rsidRPr="005E3C13" w:rsidRDefault="005E3C13" w:rsidP="00FA7962">
      <w:pPr>
        <w:spacing w:after="0" w:line="240" w:lineRule="auto"/>
        <w:jc w:val="both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</w:p>
    <w:p w:rsidR="005E3C13" w:rsidRDefault="005E3C13" w:rsidP="00FA7962">
      <w:pPr>
        <w:spacing w:after="0" w:line="240" w:lineRule="auto"/>
        <w:jc w:val="both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  <w:r w:rsidRPr="005E3C13">
        <w:rPr>
          <w:rStyle w:val="Strong"/>
          <w:rFonts w:ascii="Times New Roman" w:hAnsi="Times New Roman" w:cs="Times New Roman"/>
          <w:b w:val="0"/>
          <w:sz w:val="28"/>
          <w:szCs w:val="24"/>
        </w:rPr>
        <w:t>36) Komisijas 2017. gada 15. marta Deleģētā direktīva (ES) 2017/1011, ar ko, pielāgojot zinātnes un tehnikas attīstībai, groza Eiropas Parlamenta un Padomes Direktīvas 2011/65/ES III pielikumu attiecībā uz atbrīvojumu svina lietošanai baltajos stiklos, ko izmanto optikā</w:t>
      </w:r>
      <w:r>
        <w:rPr>
          <w:rStyle w:val="Strong"/>
          <w:rFonts w:ascii="Times New Roman" w:hAnsi="Times New Roman" w:cs="Times New Roman"/>
          <w:b w:val="0"/>
          <w:sz w:val="28"/>
          <w:szCs w:val="24"/>
        </w:rPr>
        <w:t>.”</w:t>
      </w:r>
    </w:p>
    <w:bookmarkEnd w:id="0"/>
    <w:p w:rsidR="005E3C13" w:rsidRDefault="005E3C13" w:rsidP="005E3C13">
      <w:pPr>
        <w:spacing w:after="0" w:line="240" w:lineRule="auto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</w:p>
    <w:p w:rsidR="00685645" w:rsidRDefault="00685645" w:rsidP="00685645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8"/>
          <w:szCs w:val="24"/>
        </w:rPr>
        <w:t>Izteikt 3.pielikuma 24.punktu šādā redakcijā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4678"/>
        <w:gridCol w:w="2772"/>
      </w:tblGrid>
      <w:tr w:rsidR="00685645" w:rsidTr="00685645">
        <w:tc>
          <w:tcPr>
            <w:tcW w:w="709" w:type="dxa"/>
          </w:tcPr>
          <w:p w:rsidR="00685645" w:rsidRDefault="00685645" w:rsidP="00685645">
            <w:pPr>
              <w:pStyle w:val="ListParagraph"/>
              <w:ind w:left="0"/>
              <w:outlineLvl w:val="2"/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>24.</w:t>
            </w:r>
          </w:p>
        </w:tc>
        <w:tc>
          <w:tcPr>
            <w:tcW w:w="4678" w:type="dxa"/>
          </w:tcPr>
          <w:p w:rsidR="00685645" w:rsidRDefault="00685645" w:rsidP="00685645">
            <w:pPr>
              <w:pStyle w:val="ListParagraph"/>
              <w:ind w:left="0"/>
              <w:outlineLvl w:val="2"/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685645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Svins gultņu ieliktņos un buksēs kompresoriem ar </w:t>
            </w:r>
            <w:proofErr w:type="spellStart"/>
            <w:r w:rsidRPr="00685645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>aukstumnesēju</w:t>
            </w:r>
            <w:proofErr w:type="spellEnd"/>
            <w:r w:rsidRPr="00685645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 </w:t>
            </w:r>
            <w:r w:rsidRPr="00685645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lastRenderedPageBreak/>
              <w:t>apsildīšanu, ventilāciju, gaisa kondicionēšanu un saldēšanu (HVACR)</w:t>
            </w:r>
          </w:p>
        </w:tc>
        <w:tc>
          <w:tcPr>
            <w:tcW w:w="2772" w:type="dxa"/>
          </w:tcPr>
          <w:p w:rsidR="00685645" w:rsidRDefault="00327DCC" w:rsidP="00685645">
            <w:pPr>
              <w:pStyle w:val="ListParagraph"/>
              <w:ind w:left="0"/>
              <w:outlineLvl w:val="2"/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lastRenderedPageBreak/>
              <w:t>P</w:t>
            </w:r>
            <w:r w:rsidR="00685645"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>iemēro iekārtām, kuras atbilst šo</w:t>
            </w:r>
            <w:r w:rsidR="005D3495"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5D3495"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lastRenderedPageBreak/>
              <w:t>noteikumu 2.pielikumā minētajām 8., 9. un 11.iekārtu kategorijām:</w:t>
            </w:r>
          </w:p>
          <w:p w:rsidR="005D3495" w:rsidRDefault="005D3495" w:rsidP="00880101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2023.gada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21.jūlijam – attiecībā uz </w:t>
            </w:r>
            <w:proofErr w:type="spellStart"/>
            <w:r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>in</w:t>
            </w:r>
            <w:proofErr w:type="spellEnd"/>
            <w:r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 xml:space="preserve"> </w:t>
            </w:r>
            <w:proofErr w:type="spellStart"/>
            <w:r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>vitro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diagnostikas medicīniskajām ierīcēm (8.iekārtu kategorija);</w:t>
            </w:r>
          </w:p>
          <w:p w:rsidR="005D3495" w:rsidRDefault="005D3495" w:rsidP="00880101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2024.gada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21.jūlijam – attiecībā uz rūpnieciskajiem monitoringa un kontroles instrumentiem (9. iekārtu kategorija), un attiecībā uz iekārtām, kuras atbilst 11. iekārtu kategorijai;</w:t>
            </w:r>
          </w:p>
          <w:p w:rsidR="005D3495" w:rsidRDefault="005D3495" w:rsidP="00880101">
            <w:pPr>
              <w:pStyle w:val="ListParagraph"/>
              <w:numPr>
                <w:ilvl w:val="0"/>
                <w:numId w:val="4"/>
              </w:numPr>
              <w:ind w:left="0" w:firstLine="0"/>
              <w:outlineLvl w:val="2"/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2021.gada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21.jūlijam – attiecībā uz iekārtām, kuras ietilpst citās 8.un 9.kategorijas apakškategorijās.</w:t>
            </w:r>
          </w:p>
        </w:tc>
      </w:tr>
    </w:tbl>
    <w:p w:rsidR="00685645" w:rsidRDefault="00685645" w:rsidP="00685645">
      <w:pPr>
        <w:pStyle w:val="ListParagraph"/>
        <w:spacing w:after="0" w:line="240" w:lineRule="auto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</w:p>
    <w:p w:rsidR="00685645" w:rsidRDefault="00685645" w:rsidP="00685645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8"/>
          <w:szCs w:val="24"/>
        </w:rPr>
        <w:t>Papildināt 3.pielikumu ar 24.</w:t>
      </w:r>
      <w:r w:rsidRPr="005D3495">
        <w:rPr>
          <w:rStyle w:val="Strong"/>
          <w:rFonts w:ascii="Times New Roman" w:hAnsi="Times New Roman" w:cs="Times New Roman"/>
          <w:b w:val="0"/>
          <w:sz w:val="28"/>
          <w:szCs w:val="24"/>
          <w:vertAlign w:val="superscript"/>
        </w:rPr>
        <w:t>1</w:t>
      </w:r>
      <w:r>
        <w:rPr>
          <w:rStyle w:val="Strong"/>
          <w:rFonts w:ascii="Times New Roman" w:hAnsi="Times New Roman" w:cs="Times New Roman"/>
          <w:b w:val="0"/>
          <w:sz w:val="28"/>
          <w:szCs w:val="24"/>
        </w:rPr>
        <w:t xml:space="preserve"> punktu šādā redakcijā: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678"/>
        <w:gridCol w:w="2772"/>
      </w:tblGrid>
      <w:tr w:rsidR="00685645" w:rsidTr="005D3495">
        <w:tc>
          <w:tcPr>
            <w:tcW w:w="846" w:type="dxa"/>
          </w:tcPr>
          <w:p w:rsidR="00685645" w:rsidRDefault="005D3495" w:rsidP="00685645">
            <w:pPr>
              <w:outlineLvl w:val="2"/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>24.</w:t>
            </w:r>
            <w:r w:rsidRPr="005D3495"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  <w:vertAlign w:val="superscript"/>
              </w:rPr>
              <w:t>1</w:t>
            </w:r>
          </w:p>
        </w:tc>
        <w:tc>
          <w:tcPr>
            <w:tcW w:w="4678" w:type="dxa"/>
          </w:tcPr>
          <w:p w:rsidR="00685645" w:rsidRDefault="005D3495" w:rsidP="00685645">
            <w:pPr>
              <w:outlineLvl w:val="2"/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685645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Svins gultņu ieliktņos un buksēs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tādiem hermetizētiem spirālveida kompresoriem ar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>aukstumnesēju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>kuru deklarētā ieejas jauda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 ir 9 kW vai mazāka un kuri paredzēti apsildīšanas, ventilācijas, gaisa kondicionēšanas un saldēšanas</w:t>
            </w:r>
            <w:r w:rsidRPr="00685645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 (HVACR)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 lietojumam</w:t>
            </w:r>
          </w:p>
        </w:tc>
        <w:tc>
          <w:tcPr>
            <w:tcW w:w="2772" w:type="dxa"/>
          </w:tcPr>
          <w:p w:rsidR="00685645" w:rsidRDefault="00327DCC" w:rsidP="005D3495">
            <w:pPr>
              <w:jc w:val="both"/>
              <w:outlineLvl w:val="2"/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>P</w:t>
            </w:r>
            <w:r w:rsidR="005D3495"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 xml:space="preserve">iemēro iekārtām atbilstoši šo noteikumu 2.pielikumā minētajai 1.kategorijai līdz </w:t>
            </w:r>
            <w:proofErr w:type="gramStart"/>
            <w:r w:rsidR="005D3495"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>2019.gada</w:t>
            </w:r>
            <w:proofErr w:type="gramEnd"/>
            <w:r w:rsidR="005D3495">
              <w:rPr>
                <w:rStyle w:val="Strong"/>
                <w:rFonts w:ascii="Times New Roman" w:hAnsi="Times New Roman" w:cs="Times New Roman"/>
                <w:b w:val="0"/>
                <w:sz w:val="28"/>
                <w:szCs w:val="24"/>
              </w:rPr>
              <w:t xml:space="preserve"> 21.jūlijam. </w:t>
            </w:r>
          </w:p>
        </w:tc>
      </w:tr>
    </w:tbl>
    <w:p w:rsidR="00685645" w:rsidRPr="00685645" w:rsidRDefault="00685645" w:rsidP="00685645">
      <w:pPr>
        <w:spacing w:after="0" w:line="240" w:lineRule="auto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</w:p>
    <w:p w:rsidR="00685645" w:rsidRPr="00685645" w:rsidRDefault="00685645" w:rsidP="00685645">
      <w:pPr>
        <w:pStyle w:val="ListParagraph"/>
        <w:spacing w:after="0" w:line="240" w:lineRule="auto"/>
        <w:outlineLvl w:val="2"/>
        <w:rPr>
          <w:rStyle w:val="Strong"/>
          <w:rFonts w:ascii="Times New Roman" w:hAnsi="Times New Roman" w:cs="Times New Roman"/>
          <w:b w:val="0"/>
          <w:sz w:val="28"/>
          <w:szCs w:val="24"/>
        </w:rPr>
      </w:pPr>
    </w:p>
    <w:p w:rsidR="005E3C13" w:rsidRDefault="0094727B" w:rsidP="0094727B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Izteikt </w:t>
      </w:r>
      <w:r w:rsidR="00C24BB7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3.pielikuma </w:t>
      </w:r>
      <w:r w:rsidR="00FA7962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28. un </w:t>
      </w:r>
      <w:r w:rsidR="00C24BB7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>29.punktu šādā redakcijā:</w:t>
      </w:r>
    </w:p>
    <w:p w:rsidR="00FA7962" w:rsidRDefault="00FA7962" w:rsidP="00FA7962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826"/>
        <w:gridCol w:w="2766"/>
      </w:tblGrid>
      <w:tr w:rsidR="00FA7962" w:rsidTr="00C24BB7">
        <w:tc>
          <w:tcPr>
            <w:tcW w:w="704" w:type="dxa"/>
          </w:tcPr>
          <w:p w:rsidR="00FA7962" w:rsidRDefault="00FA7962" w:rsidP="00C24BB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lastRenderedPageBreak/>
              <w:t>28.</w:t>
            </w:r>
          </w:p>
        </w:tc>
        <w:tc>
          <w:tcPr>
            <w:tcW w:w="4826" w:type="dxa"/>
          </w:tcPr>
          <w:p w:rsidR="00FA7962" w:rsidRPr="00FA7962" w:rsidRDefault="00FA7962" w:rsidP="00C24BB7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>Svins baltajos stiklos, ko izmanto optikā</w:t>
            </w:r>
          </w:p>
        </w:tc>
        <w:tc>
          <w:tcPr>
            <w:tcW w:w="2766" w:type="dxa"/>
          </w:tcPr>
          <w:p w:rsidR="00FA7962" w:rsidRDefault="00327DCC" w:rsidP="00FA7962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P</w:t>
            </w:r>
            <w:r w:rsidR="00FA7962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iemēro visām iekārtām, kuras atbilst šo noteikumu 2.pielikumā minētajām iekārtu kategorijām</w:t>
            </w:r>
            <w:r w:rsidR="0068564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:</w:t>
            </w:r>
          </w:p>
          <w:p w:rsidR="00685645" w:rsidRDefault="00685645" w:rsidP="00685645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2023.gada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21.jūlijam – attiecībā uz </w:t>
            </w:r>
            <w:proofErr w:type="spellStart"/>
            <w:r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>in</w:t>
            </w:r>
            <w:proofErr w:type="spellEnd"/>
            <w:r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 xml:space="preserve"> </w:t>
            </w:r>
            <w:proofErr w:type="spellStart"/>
            <w:r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>vitro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diagnostikas medicīniskajām ierīcēm (8.iekārtu kategorija);</w:t>
            </w:r>
          </w:p>
          <w:p w:rsidR="00685645" w:rsidRDefault="00685645" w:rsidP="00685645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2024.gada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21.jūlijam – attiecībā uz rūpnieciskajiem monitoringa un kontroles instrumentiem (9. iekārtu kategorija), un attiecībā uz iekārtām, kuras atbilst 11. iekārtu kategorijai;</w:t>
            </w:r>
          </w:p>
          <w:p w:rsidR="00685645" w:rsidRPr="00685645" w:rsidRDefault="00685645" w:rsidP="00685645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2021.gada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21.jūlijam – attiecībā uz iekārtām, kuras atbilst citām šo noteikumu 2.pielikumā minētajām  kategorijām un apakškategorijām.</w:t>
            </w:r>
          </w:p>
        </w:tc>
      </w:tr>
      <w:tr w:rsidR="00C24BB7" w:rsidTr="00C24BB7">
        <w:tc>
          <w:tcPr>
            <w:tcW w:w="704" w:type="dxa"/>
          </w:tcPr>
          <w:p w:rsidR="00C24BB7" w:rsidRDefault="00C24BB7" w:rsidP="00C24BB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29.</w:t>
            </w:r>
          </w:p>
        </w:tc>
        <w:tc>
          <w:tcPr>
            <w:tcW w:w="4826" w:type="dxa"/>
          </w:tcPr>
          <w:p w:rsidR="00C24BB7" w:rsidRDefault="00C24BB7" w:rsidP="00C24BB7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 w:rsidRPr="00FA7962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>Kadmijs un svins stikla filtros un stiklos, ko izmanto atstarošanas standartiem</w:t>
            </w:r>
          </w:p>
        </w:tc>
        <w:tc>
          <w:tcPr>
            <w:tcW w:w="2766" w:type="dxa"/>
          </w:tcPr>
          <w:p w:rsidR="00C24BB7" w:rsidRDefault="00327DCC" w:rsidP="00FA7962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P</w:t>
            </w:r>
            <w:r w:rsidR="00FA7962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iemēro iekārtām, kuras atbilst šo noteikumu 2</w:t>
            </w:r>
            <w:r w:rsidR="005D349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.pielikumā minētajām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8., 9. un 11</w:t>
            </w:r>
            <w:r w:rsidR="00FA7962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.iekārtu</w:t>
            </w:r>
            <w:r w:rsidR="005D349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kategorijām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:</w:t>
            </w:r>
          </w:p>
          <w:p w:rsidR="00C24BB7" w:rsidRDefault="00685645" w:rsidP="00FA7962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2023.gada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.jūlijam – attiecībā uz </w:t>
            </w:r>
            <w:proofErr w:type="spellStart"/>
            <w:r w:rsidR="00C24BB7"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>in</w:t>
            </w:r>
            <w:proofErr w:type="spellEnd"/>
            <w:r w:rsidR="00C24BB7"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 xml:space="preserve"> </w:t>
            </w:r>
            <w:proofErr w:type="spellStart"/>
            <w:r w:rsidR="00C24BB7" w:rsidRPr="00FA7962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lv-LV"/>
              </w:rPr>
              <w:t>vitro</w:t>
            </w:r>
            <w:proofErr w:type="spellEnd"/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lastRenderedPageBreak/>
              <w:t>diagnostikas medicīniskajām ierīcēm (8.</w:t>
            </w:r>
            <w:r w:rsidR="00FA7962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iekārtu 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kategorija);</w:t>
            </w:r>
          </w:p>
          <w:p w:rsidR="00C24BB7" w:rsidRDefault="00685645" w:rsidP="00FA7962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2024.gada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.jūlijam – attiecībā uz rūpnieciskajiem monitoringa un kontroles instrumentiem (9.</w:t>
            </w:r>
            <w:r w:rsidR="00FA7962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iekārtu 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kategorija), un attiecībā uz iekārtām, kuras atbilst 11.</w:t>
            </w:r>
            <w:r w:rsidR="00FA7962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iekārtu 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kategorijai;</w:t>
            </w:r>
          </w:p>
          <w:p w:rsidR="00C24BB7" w:rsidRPr="00C24BB7" w:rsidRDefault="00685645" w:rsidP="00FA7962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līdz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2021.gada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</w:t>
            </w:r>
            <w:r w:rsidR="00C24BB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.jūlijam – attiecībā uz iekārtām, kuras ietilpst citās 8.un 9.kategorijas apakškategorijās. </w:t>
            </w:r>
          </w:p>
        </w:tc>
      </w:tr>
    </w:tbl>
    <w:p w:rsidR="00C24BB7" w:rsidRPr="00C24BB7" w:rsidRDefault="00C24BB7" w:rsidP="00C24BB7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</w:p>
    <w:p w:rsidR="00C24BB7" w:rsidRDefault="00C24BB7" w:rsidP="00C24BB7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  <w:r w:rsidRPr="00C24BB7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>Papildināt 3.pielikumu ar 29.</w:t>
      </w:r>
      <w:r w:rsidRPr="00C24BB7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lv-LV"/>
        </w:rPr>
        <w:t>1</w:t>
      </w:r>
      <w:r w:rsidRPr="00C24BB7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>, 29.</w:t>
      </w:r>
      <w:r w:rsidRPr="00C24BB7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lv-LV"/>
        </w:rPr>
        <w:t>2</w:t>
      </w:r>
      <w:r w:rsidRPr="00C24BB7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 un 29.</w:t>
      </w:r>
      <w:r w:rsidRPr="00C24BB7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lv-LV"/>
        </w:rPr>
        <w:t>3</w:t>
      </w:r>
      <w:r w:rsidRPr="00C24BB7"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 punktu šādā redakcijā: </w:t>
      </w:r>
    </w:p>
    <w:p w:rsidR="000D0609" w:rsidRDefault="000D0609" w:rsidP="000D060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2914"/>
      </w:tblGrid>
      <w:tr w:rsidR="000D0609" w:rsidTr="000D0609">
        <w:tc>
          <w:tcPr>
            <w:tcW w:w="704" w:type="dxa"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29.</w:t>
            </w:r>
            <w:r w:rsidRPr="000D0609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4678" w:type="dxa"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Svins ar joniem iekrāsotos optiskajos stikla filtros</w:t>
            </w:r>
          </w:p>
        </w:tc>
        <w:tc>
          <w:tcPr>
            <w:tcW w:w="2914" w:type="dxa"/>
            <w:vMerge w:val="restart"/>
          </w:tcPr>
          <w:p w:rsidR="000D0609" w:rsidRDefault="00327DCC" w:rsidP="005D349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L</w:t>
            </w:r>
            <w:r w:rsidR="0068564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īdz </w:t>
            </w:r>
            <w:proofErr w:type="gramStart"/>
            <w:r w:rsidR="0068564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2021.gada</w:t>
            </w:r>
            <w:proofErr w:type="gramEnd"/>
            <w:r w:rsidR="0068564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21.jūlijam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piemēro</w:t>
            </w:r>
            <w:r w:rsidR="000D060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iekārt</w:t>
            </w:r>
            <w:r w:rsidR="0068564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ām, kuras atbilst šo noteikumu 2</w:t>
            </w:r>
            <w:r w:rsidR="005D349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.pielikumā minētajām</w:t>
            </w:r>
            <w:r w:rsidR="000D060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1., 2.,3.,4., 5.,6., 7. un 10.</w:t>
            </w:r>
            <w:r w:rsidR="0068564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 iekārtu </w:t>
            </w:r>
            <w:r w:rsidR="005D349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kategorijām</w:t>
            </w:r>
            <w:r w:rsidR="000D060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. </w:t>
            </w:r>
          </w:p>
        </w:tc>
      </w:tr>
      <w:tr w:rsidR="000D0609" w:rsidTr="000D0609">
        <w:tc>
          <w:tcPr>
            <w:tcW w:w="704" w:type="dxa"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29.</w:t>
            </w:r>
            <w:r w:rsidRPr="000D0609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4678" w:type="dxa"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Kadmijs iniciētos optiskajos stikla filtros, izņemot lietojumus, uz kuriem attiecas šā pielikuma </w:t>
            </w:r>
            <w:r w:rsidR="00685645" w:rsidRPr="0068564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47.punkts</w:t>
            </w:r>
          </w:p>
        </w:tc>
        <w:tc>
          <w:tcPr>
            <w:tcW w:w="2914" w:type="dxa"/>
            <w:vMerge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</w:p>
        </w:tc>
      </w:tr>
      <w:tr w:rsidR="000D0609" w:rsidTr="000D0609">
        <w:tc>
          <w:tcPr>
            <w:tcW w:w="704" w:type="dxa"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29.</w:t>
            </w:r>
            <w:r w:rsidRPr="000D0609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4678" w:type="dxa"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 xml:space="preserve">Kadmijs un svins stiklos, ko izmanto atstarošanas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  <w:t>standartfien</w:t>
            </w:r>
            <w:proofErr w:type="spellEnd"/>
          </w:p>
        </w:tc>
        <w:tc>
          <w:tcPr>
            <w:tcW w:w="2914" w:type="dxa"/>
            <w:vMerge/>
          </w:tcPr>
          <w:p w:rsidR="000D0609" w:rsidRDefault="000D0609" w:rsidP="000D0609">
            <w:pPr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lv-LV"/>
              </w:rPr>
            </w:pPr>
          </w:p>
        </w:tc>
      </w:tr>
    </w:tbl>
    <w:p w:rsidR="000D0609" w:rsidRDefault="000D0609" w:rsidP="000D060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</w:p>
    <w:p w:rsidR="00327DCC" w:rsidRDefault="00327DCC" w:rsidP="00327DCC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Noteikumi stājas spēkā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>2018.gada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  <w:t xml:space="preserve"> 6.jūlijā.</w:t>
      </w:r>
    </w:p>
    <w:p w:rsidR="00327DCC" w:rsidRPr="00327DCC" w:rsidRDefault="00327DCC" w:rsidP="00327DCC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lv-LV"/>
        </w:rPr>
      </w:pPr>
    </w:p>
    <w:p w:rsidR="00880101" w:rsidRPr="003B468C" w:rsidRDefault="00880101" w:rsidP="00880101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prezidents</w:t>
      </w:r>
      <w:proofErr w:type="gramStart"/>
      <w:r w:rsidRPr="003B468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gramEnd"/>
      <w:r>
        <w:rPr>
          <w:rFonts w:ascii="Times New Roman" w:hAnsi="Times New Roman"/>
          <w:sz w:val="28"/>
          <w:szCs w:val="28"/>
        </w:rPr>
        <w:tab/>
        <w:t>M. Kučinskis</w:t>
      </w:r>
    </w:p>
    <w:p w:rsidR="00880101" w:rsidRDefault="00880101" w:rsidP="00880101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80101" w:rsidRPr="003B468C" w:rsidRDefault="00880101" w:rsidP="00880101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Vides aizsardzības un </w:t>
      </w:r>
    </w:p>
    <w:p w:rsidR="00880101" w:rsidRPr="003B468C" w:rsidRDefault="00880101" w:rsidP="008801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 Gerhards</w:t>
      </w:r>
    </w:p>
    <w:p w:rsidR="00880101" w:rsidRPr="003B468C" w:rsidRDefault="00880101" w:rsidP="00880101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3B468C">
        <w:rPr>
          <w:rFonts w:ascii="Times New Roman" w:hAnsi="Times New Roman"/>
          <w:sz w:val="28"/>
          <w:szCs w:val="28"/>
        </w:rPr>
        <w:tab/>
        <w:t xml:space="preserve"> </w:t>
      </w:r>
    </w:p>
    <w:p w:rsidR="00880101" w:rsidRPr="003B468C" w:rsidRDefault="00880101" w:rsidP="0088010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880101" w:rsidRDefault="00880101" w:rsidP="0088010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468C">
        <w:rPr>
          <w:rFonts w:ascii="Times New Roman" w:hAnsi="Times New Roman"/>
          <w:sz w:val="20"/>
          <w:szCs w:val="20"/>
        </w:rPr>
        <w:t>Doniņa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3B468C">
        <w:rPr>
          <w:rFonts w:ascii="Times New Roman" w:hAnsi="Times New Roman"/>
          <w:sz w:val="20"/>
          <w:szCs w:val="20"/>
        </w:rPr>
        <w:t>6</w:t>
      </w:r>
      <w:smartTag w:uri="schemas-tilde-lv/tildestengine" w:element="phone">
        <w:smartTagPr>
          <w:attr w:name="phone_number" w:val="7026515"/>
        </w:smartTagPr>
        <w:r w:rsidRPr="003B468C">
          <w:rPr>
            <w:rFonts w:ascii="Times New Roman" w:hAnsi="Times New Roman"/>
            <w:sz w:val="20"/>
            <w:szCs w:val="20"/>
          </w:rPr>
          <w:t>7026515</w:t>
        </w:r>
      </w:smartTag>
      <w:r w:rsidRPr="003B468C">
        <w:rPr>
          <w:rFonts w:ascii="Times New Roman" w:hAnsi="Times New Roman"/>
          <w:sz w:val="20"/>
          <w:szCs w:val="20"/>
        </w:rPr>
        <w:t xml:space="preserve">; </w:t>
      </w:r>
    </w:p>
    <w:p w:rsidR="00880101" w:rsidRPr="003B468C" w:rsidRDefault="00240B53" w:rsidP="00880101">
      <w:pPr>
        <w:spacing w:after="0" w:line="240" w:lineRule="auto"/>
        <w:rPr>
          <w:rFonts w:ascii="Times New Roman" w:hAnsi="Times New Roman"/>
          <w:sz w:val="20"/>
          <w:szCs w:val="20"/>
        </w:rPr>
      </w:pPr>
      <w:hyperlink r:id="rId7" w:history="1">
        <w:r w:rsidR="00880101" w:rsidRPr="003B468C">
          <w:rPr>
            <w:rStyle w:val="Hyperlink"/>
            <w:rFonts w:ascii="Times New Roman" w:hAnsi="Times New Roman"/>
            <w:sz w:val="20"/>
            <w:szCs w:val="20"/>
          </w:rPr>
          <w:t>ilze.donina@varam.gov.lv</w:t>
        </w:r>
      </w:hyperlink>
    </w:p>
    <w:sectPr w:rsidR="00880101" w:rsidRPr="003B468C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B53" w:rsidRDefault="00240B53" w:rsidP="00880101">
      <w:pPr>
        <w:spacing w:after="0" w:line="240" w:lineRule="auto"/>
      </w:pPr>
      <w:r>
        <w:separator/>
      </w:r>
    </w:p>
  </w:endnote>
  <w:endnote w:type="continuationSeparator" w:id="0">
    <w:p w:rsidR="00240B53" w:rsidRDefault="00240B53" w:rsidP="0088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101" w:rsidRPr="009E59CB" w:rsidRDefault="0001289B" w:rsidP="00880101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VARAMNot_2908</w:t>
    </w:r>
    <w:r w:rsidR="00880101">
      <w:rPr>
        <w:rFonts w:ascii="Times New Roman" w:hAnsi="Times New Roman" w:cs="Times New Roman"/>
        <w:sz w:val="20"/>
        <w:szCs w:val="20"/>
      </w:rPr>
      <w:t>17</w:t>
    </w:r>
    <w:r w:rsidR="00880101" w:rsidRPr="009E59CB">
      <w:rPr>
        <w:rFonts w:ascii="Times New Roman" w:hAnsi="Times New Roman" w:cs="Times New Roman"/>
        <w:sz w:val="20"/>
        <w:szCs w:val="20"/>
      </w:rPr>
      <w:t xml:space="preserve">_ROHS; Ministru kabineta noteikumu projekts </w:t>
    </w:r>
    <w:r w:rsidR="00880101">
      <w:rPr>
        <w:rFonts w:ascii="Times New Roman" w:hAnsi="Times New Roman" w:cs="Times New Roman"/>
        <w:sz w:val="20"/>
        <w:szCs w:val="20"/>
      </w:rPr>
      <w:t>„</w:t>
    </w:r>
    <w:r w:rsidR="00880101" w:rsidRPr="009E59CB">
      <w:rPr>
        <w:rFonts w:ascii="Times New Roman" w:hAnsi="Times New Roman" w:cs="Times New Roman"/>
        <w:sz w:val="20"/>
        <w:szCs w:val="20"/>
      </w:rPr>
      <w:t>Grozījumi Ministru kabineta 2013.</w:t>
    </w:r>
    <w:r w:rsidR="00880101">
      <w:rPr>
        <w:rFonts w:ascii="Times New Roman" w:hAnsi="Times New Roman" w:cs="Times New Roman"/>
        <w:sz w:val="20"/>
        <w:szCs w:val="20"/>
      </w:rPr>
      <w:t> </w:t>
    </w:r>
    <w:r w:rsidR="00880101" w:rsidRPr="009E59CB">
      <w:rPr>
        <w:rFonts w:ascii="Times New Roman" w:hAnsi="Times New Roman" w:cs="Times New Roman"/>
        <w:sz w:val="20"/>
        <w:szCs w:val="20"/>
      </w:rPr>
      <w:t>gada 5.</w:t>
    </w:r>
    <w:r w:rsidR="00880101">
      <w:rPr>
        <w:rFonts w:ascii="Times New Roman" w:hAnsi="Times New Roman" w:cs="Times New Roman"/>
        <w:sz w:val="20"/>
        <w:szCs w:val="20"/>
      </w:rPr>
      <w:t> </w:t>
    </w:r>
    <w:r w:rsidR="00880101" w:rsidRPr="009E59CB">
      <w:rPr>
        <w:rFonts w:ascii="Times New Roman" w:hAnsi="Times New Roman" w:cs="Times New Roman"/>
        <w:sz w:val="20"/>
        <w:szCs w:val="20"/>
      </w:rPr>
      <w:t>februāra noteikumos Nr.</w:t>
    </w:r>
    <w:r w:rsidR="00880101">
      <w:rPr>
        <w:rFonts w:ascii="Times New Roman" w:hAnsi="Times New Roman" w:cs="Times New Roman"/>
        <w:sz w:val="20"/>
        <w:szCs w:val="20"/>
      </w:rPr>
      <w:t> </w:t>
    </w:r>
    <w:r w:rsidR="00880101" w:rsidRPr="009E59CB">
      <w:rPr>
        <w:rFonts w:ascii="Times New Roman" w:hAnsi="Times New Roman" w:cs="Times New Roman"/>
        <w:sz w:val="20"/>
        <w:szCs w:val="20"/>
      </w:rPr>
      <w:t>84 „Noteikumi par atsevišķu ķīmisku vielu lietošanas ierobežojumiem elektriskajās un elektroniskajās iekārtās””</w:t>
    </w:r>
  </w:p>
  <w:p w:rsidR="00880101" w:rsidRDefault="008801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B53" w:rsidRDefault="00240B53" w:rsidP="00880101">
      <w:pPr>
        <w:spacing w:after="0" w:line="240" w:lineRule="auto"/>
      </w:pPr>
      <w:r>
        <w:separator/>
      </w:r>
    </w:p>
  </w:footnote>
  <w:footnote w:type="continuationSeparator" w:id="0">
    <w:p w:rsidR="00240B53" w:rsidRDefault="00240B53" w:rsidP="0088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07D5C"/>
    <w:multiLevelType w:val="hybridMultilevel"/>
    <w:tmpl w:val="6AC6C28E"/>
    <w:lvl w:ilvl="0" w:tplc="1EDC2100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C4839"/>
    <w:multiLevelType w:val="hybridMultilevel"/>
    <w:tmpl w:val="1F462D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464CC"/>
    <w:multiLevelType w:val="hybridMultilevel"/>
    <w:tmpl w:val="246A5B6E"/>
    <w:lvl w:ilvl="0" w:tplc="A22627B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22778"/>
    <w:multiLevelType w:val="hybridMultilevel"/>
    <w:tmpl w:val="AA84060E"/>
    <w:lvl w:ilvl="0" w:tplc="4C48C27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C13"/>
    <w:rsid w:val="0001289B"/>
    <w:rsid w:val="000D0609"/>
    <w:rsid w:val="000D6C3A"/>
    <w:rsid w:val="00240B53"/>
    <w:rsid w:val="00327DCC"/>
    <w:rsid w:val="005D3495"/>
    <w:rsid w:val="005E3C13"/>
    <w:rsid w:val="00685645"/>
    <w:rsid w:val="00880101"/>
    <w:rsid w:val="0094727B"/>
    <w:rsid w:val="00C24BB7"/>
    <w:rsid w:val="00D05838"/>
    <w:rsid w:val="00E567C4"/>
    <w:rsid w:val="00FA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99F5C-8DB9-4F91-873E-F7301F78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E3C13"/>
    <w:rPr>
      <w:b/>
      <w:bCs/>
    </w:rPr>
  </w:style>
  <w:style w:type="paragraph" w:customStyle="1" w:styleId="naislab">
    <w:name w:val="naislab"/>
    <w:basedOn w:val="Normal"/>
    <w:rsid w:val="005E3C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E3C13"/>
    <w:pPr>
      <w:ind w:left="720"/>
      <w:contextualSpacing/>
    </w:pPr>
  </w:style>
  <w:style w:type="table" w:styleId="TableGrid">
    <w:name w:val="Table Grid"/>
    <w:basedOn w:val="TableNormal"/>
    <w:uiPriority w:val="39"/>
    <w:rsid w:val="00C24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80101"/>
    <w:rPr>
      <w:color w:val="0000FF"/>
      <w:u w:val="single"/>
    </w:rPr>
  </w:style>
  <w:style w:type="paragraph" w:customStyle="1" w:styleId="tv2131">
    <w:name w:val="tv2131"/>
    <w:basedOn w:val="Normal"/>
    <w:rsid w:val="00880101"/>
    <w:pPr>
      <w:spacing w:before="240" w:after="0" w:line="360" w:lineRule="auto"/>
      <w:ind w:firstLine="259"/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tv2161">
    <w:name w:val="tv2161"/>
    <w:basedOn w:val="Normal"/>
    <w:rsid w:val="00880101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01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101"/>
  </w:style>
  <w:style w:type="paragraph" w:styleId="Footer">
    <w:name w:val="footer"/>
    <w:basedOn w:val="Normal"/>
    <w:link w:val="FooterChar"/>
    <w:uiPriority w:val="99"/>
    <w:unhideWhenUsed/>
    <w:rsid w:val="008801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9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lze.donina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3103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4</cp:revision>
  <dcterms:created xsi:type="dcterms:W3CDTF">2017-08-29T09:08:00Z</dcterms:created>
  <dcterms:modified xsi:type="dcterms:W3CDTF">2017-09-01T12:24:00Z</dcterms:modified>
</cp:coreProperties>
</file>