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CA7" w:rsidRPr="00203DE4" w:rsidRDefault="003B4CA7" w:rsidP="003B4CA7">
      <w:pPr>
        <w:pStyle w:val="naislab"/>
        <w:spacing w:before="0" w:after="0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4</w:t>
      </w:r>
      <w:r w:rsidRPr="00203DE4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203DE4">
        <w:rPr>
          <w:sz w:val="28"/>
          <w:szCs w:val="28"/>
        </w:rPr>
        <w:t>pielikums</w:t>
      </w:r>
    </w:p>
    <w:p w:rsidR="003B4CA7" w:rsidRPr="00203DE4" w:rsidRDefault="003B4CA7" w:rsidP="003B4CA7">
      <w:pPr>
        <w:pStyle w:val="naislab"/>
        <w:spacing w:before="0" w:after="0"/>
        <w:rPr>
          <w:sz w:val="28"/>
          <w:szCs w:val="28"/>
        </w:rPr>
      </w:pPr>
      <w:r w:rsidRPr="00203DE4">
        <w:rPr>
          <w:sz w:val="28"/>
          <w:szCs w:val="28"/>
        </w:rPr>
        <w:t>Ministru kabineta</w:t>
      </w:r>
    </w:p>
    <w:p w:rsidR="003B4CA7" w:rsidRPr="00203DE4" w:rsidRDefault="003B4CA7" w:rsidP="003B4CA7">
      <w:pPr>
        <w:pStyle w:val="naislab"/>
        <w:spacing w:before="0" w:after="0"/>
        <w:rPr>
          <w:sz w:val="28"/>
          <w:szCs w:val="28"/>
        </w:rPr>
      </w:pPr>
      <w:r w:rsidRPr="00203DE4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203DE4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203DE4">
        <w:rPr>
          <w:sz w:val="28"/>
          <w:szCs w:val="28"/>
        </w:rPr>
        <w:t>gada __.__________</w:t>
      </w:r>
    </w:p>
    <w:p w:rsidR="003B4CA7" w:rsidRPr="00203DE4" w:rsidRDefault="003B4CA7" w:rsidP="003B4CA7">
      <w:pPr>
        <w:pStyle w:val="naislab"/>
        <w:spacing w:before="0" w:after="0"/>
        <w:rPr>
          <w:sz w:val="28"/>
          <w:szCs w:val="28"/>
        </w:rPr>
      </w:pPr>
      <w:r w:rsidRPr="00203DE4">
        <w:rPr>
          <w:sz w:val="28"/>
          <w:szCs w:val="28"/>
        </w:rPr>
        <w:t>noteikumiem Nr.____</w:t>
      </w:r>
    </w:p>
    <w:p w:rsidR="003B4CA7" w:rsidRPr="00916499" w:rsidRDefault="003B4CA7" w:rsidP="003B4CA7">
      <w:pPr>
        <w:pStyle w:val="ti-grseq-1"/>
        <w:shd w:val="clear" w:color="auto" w:fill="FFFFFF"/>
        <w:spacing w:before="240" w:beforeAutospacing="0" w:after="120" w:afterAutospacing="0"/>
        <w:jc w:val="center"/>
        <w:rPr>
          <w:b/>
          <w:bCs/>
          <w:color w:val="000000"/>
        </w:rPr>
      </w:pPr>
      <w:r>
        <w:rPr>
          <w:b/>
          <w:sz w:val="28"/>
          <w:szCs w:val="28"/>
        </w:rPr>
        <w:t>Prasības e</w:t>
      </w:r>
      <w:r w:rsidRPr="00916499">
        <w:rPr>
          <w:b/>
          <w:sz w:val="28"/>
          <w:szCs w:val="28"/>
        </w:rPr>
        <w:t xml:space="preserve">misiju ziņojumu </w:t>
      </w:r>
      <w:r>
        <w:rPr>
          <w:b/>
          <w:sz w:val="28"/>
          <w:szCs w:val="28"/>
        </w:rPr>
        <w:t>un prognožu sagatavošanai</w:t>
      </w:r>
    </w:p>
    <w:p w:rsidR="003B4CA7" w:rsidRDefault="003B4CA7" w:rsidP="003B4CA7">
      <w:pPr>
        <w:pStyle w:val="ti-grseq-1"/>
        <w:shd w:val="clear" w:color="auto" w:fill="FFFFFF"/>
        <w:spacing w:before="240" w:beforeAutospacing="0" w:after="120" w:afterAutospacing="0"/>
        <w:ind w:left="1080"/>
        <w:jc w:val="center"/>
        <w:rPr>
          <w:b/>
          <w:color w:val="000000"/>
        </w:rPr>
      </w:pPr>
      <w:r>
        <w:rPr>
          <w:b/>
          <w:color w:val="000000"/>
        </w:rPr>
        <w:t>I. </w:t>
      </w:r>
      <w:r w:rsidRPr="00556382">
        <w:rPr>
          <w:b/>
          <w:color w:val="000000"/>
        </w:rPr>
        <w:t>Ziņojums par valsts kopējām emisijām</w:t>
      </w:r>
    </w:p>
    <w:p w:rsidR="003B4CA7" w:rsidRPr="00556382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56382">
        <w:rPr>
          <w:color w:val="000000"/>
        </w:rPr>
        <w:tab/>
        <w:t>1.</w:t>
      </w:r>
      <w:r w:rsidRPr="00556382">
        <w:rPr>
          <w:color w:val="000000"/>
        </w:rPr>
        <w:tab/>
      </w:r>
      <w:r>
        <w:rPr>
          <w:color w:val="000000"/>
        </w:rPr>
        <w:t>Emisiju ziņojumam</w:t>
      </w:r>
      <w:r w:rsidRPr="00556382">
        <w:rPr>
          <w:color w:val="000000"/>
        </w:rPr>
        <w:t xml:space="preserve"> </w:t>
      </w:r>
      <w:r>
        <w:rPr>
          <w:color w:val="000000"/>
        </w:rPr>
        <w:t>jābūt</w:t>
      </w:r>
      <w:r w:rsidRPr="00556382">
        <w:rPr>
          <w:color w:val="000000"/>
        </w:rPr>
        <w:t xml:space="preserve"> pārredzam</w:t>
      </w:r>
      <w:r>
        <w:rPr>
          <w:color w:val="000000"/>
        </w:rPr>
        <w:t>am</w:t>
      </w:r>
      <w:r w:rsidRPr="00556382">
        <w:rPr>
          <w:color w:val="000000"/>
        </w:rPr>
        <w:t>, konsekvent</w:t>
      </w:r>
      <w:r>
        <w:rPr>
          <w:color w:val="000000"/>
        </w:rPr>
        <w:t>am</w:t>
      </w:r>
      <w:r w:rsidRPr="00556382">
        <w:rPr>
          <w:color w:val="000000"/>
        </w:rPr>
        <w:t>, salīdzinām</w:t>
      </w:r>
      <w:r>
        <w:rPr>
          <w:color w:val="000000"/>
        </w:rPr>
        <w:t>am</w:t>
      </w:r>
      <w:r w:rsidRPr="00556382">
        <w:rPr>
          <w:color w:val="000000"/>
        </w:rPr>
        <w:t>, pilnīg</w:t>
      </w:r>
      <w:r>
        <w:rPr>
          <w:color w:val="000000"/>
        </w:rPr>
        <w:t>am</w:t>
      </w:r>
      <w:r w:rsidRPr="00556382">
        <w:rPr>
          <w:color w:val="000000"/>
        </w:rPr>
        <w:t xml:space="preserve"> un precīz</w:t>
      </w:r>
      <w:r>
        <w:rPr>
          <w:color w:val="000000"/>
        </w:rPr>
        <w:t>am</w:t>
      </w:r>
      <w:r w:rsidRPr="00556382">
        <w:rPr>
          <w:color w:val="000000"/>
        </w:rPr>
        <w:t>.</w:t>
      </w:r>
    </w:p>
    <w:p w:rsidR="003B4CA7" w:rsidRPr="00556382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56382">
        <w:rPr>
          <w:color w:val="000000"/>
        </w:rPr>
        <w:tab/>
        <w:t>2.</w:t>
      </w:r>
      <w:r w:rsidRPr="00556382">
        <w:rPr>
          <w:color w:val="000000"/>
        </w:rPr>
        <w:tab/>
        <w:t xml:space="preserve">Emisijas no galvenajām avotu kategorijām aprēķina saskaņā ar </w:t>
      </w:r>
      <w:r>
        <w:rPr>
          <w:color w:val="000000"/>
        </w:rPr>
        <w:t>emisiju</w:t>
      </w:r>
      <w:r w:rsidR="000E7EF4">
        <w:rPr>
          <w:color w:val="000000"/>
        </w:rPr>
        <w:t xml:space="preserve"> ziņošanas un</w:t>
      </w:r>
      <w:r>
        <w:rPr>
          <w:color w:val="000000"/>
        </w:rPr>
        <w:t xml:space="preserve"> aprēķinu vadlīnijās</w:t>
      </w:r>
      <w:r w:rsidRPr="00556382">
        <w:rPr>
          <w:color w:val="000000"/>
        </w:rPr>
        <w:t xml:space="preserve"> definētām metodēm, cenšoties izmantot </w:t>
      </w:r>
      <w:r>
        <w:rPr>
          <w:color w:val="000000"/>
        </w:rPr>
        <w:t>otrā</w:t>
      </w:r>
      <w:r w:rsidRPr="00556382">
        <w:rPr>
          <w:color w:val="000000"/>
        </w:rPr>
        <w:t xml:space="preserve"> līmeņa vai augstāka līmeņa (detalizēt</w:t>
      </w:r>
      <w:r>
        <w:rPr>
          <w:color w:val="000000"/>
        </w:rPr>
        <w:t>ākas) metodes. V</w:t>
      </w:r>
      <w:r w:rsidRPr="00556382">
        <w:rPr>
          <w:color w:val="000000"/>
        </w:rPr>
        <w:t xml:space="preserve">ar izmantot </w:t>
      </w:r>
      <w:r>
        <w:rPr>
          <w:color w:val="000000"/>
        </w:rPr>
        <w:t xml:space="preserve">arī </w:t>
      </w:r>
      <w:r w:rsidRPr="00556382">
        <w:rPr>
          <w:color w:val="000000"/>
        </w:rPr>
        <w:t>citas zinātniski pamatotas un saderīgas metodes, ja ar minētajām metodēm iegūst precīzāk</w:t>
      </w:r>
      <w:r w:rsidR="002A60E7">
        <w:rPr>
          <w:color w:val="000000"/>
        </w:rPr>
        <w:t>us</w:t>
      </w:r>
      <w:r w:rsidRPr="00556382">
        <w:rPr>
          <w:color w:val="000000"/>
        </w:rPr>
        <w:t xml:space="preserve"> ap</w:t>
      </w:r>
      <w:r w:rsidR="002A60E7">
        <w:rPr>
          <w:color w:val="000000"/>
        </w:rPr>
        <w:t xml:space="preserve">rēķinus </w:t>
      </w:r>
      <w:r w:rsidRPr="00556382">
        <w:rPr>
          <w:color w:val="000000"/>
        </w:rPr>
        <w:t xml:space="preserve">nekā ar </w:t>
      </w:r>
      <w:r>
        <w:rPr>
          <w:color w:val="000000"/>
        </w:rPr>
        <w:t xml:space="preserve">emisiju </w:t>
      </w:r>
      <w:r w:rsidR="000E7EF4">
        <w:rPr>
          <w:color w:val="000000"/>
        </w:rPr>
        <w:t xml:space="preserve">ziņošanas un </w:t>
      </w:r>
      <w:r>
        <w:rPr>
          <w:color w:val="000000"/>
        </w:rPr>
        <w:t>aprēķinu vadlīnijās</w:t>
      </w:r>
      <w:r w:rsidRPr="00556382">
        <w:rPr>
          <w:color w:val="000000"/>
        </w:rPr>
        <w:t xml:space="preserve"> norādītajām standarta metodēm.</w:t>
      </w:r>
    </w:p>
    <w:p w:rsidR="003B4CA7" w:rsidRPr="00556382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56382">
        <w:rPr>
          <w:color w:val="000000"/>
        </w:rPr>
        <w:tab/>
        <w:t>3.</w:t>
      </w:r>
      <w:r w:rsidRPr="00556382">
        <w:rPr>
          <w:color w:val="000000"/>
        </w:rPr>
        <w:tab/>
      </w:r>
      <w:r>
        <w:rPr>
          <w:color w:val="000000"/>
        </w:rPr>
        <w:t>Veicot t</w:t>
      </w:r>
      <w:r w:rsidRPr="00556382">
        <w:rPr>
          <w:color w:val="000000"/>
        </w:rPr>
        <w:t>ransporta</w:t>
      </w:r>
      <w:r>
        <w:rPr>
          <w:color w:val="000000"/>
        </w:rPr>
        <w:t xml:space="preserve"> sektora</w:t>
      </w:r>
      <w:r w:rsidRPr="00556382">
        <w:rPr>
          <w:color w:val="000000"/>
        </w:rPr>
        <w:t xml:space="preserve"> emisijas aprēķin</w:t>
      </w:r>
      <w:r>
        <w:rPr>
          <w:color w:val="000000"/>
        </w:rPr>
        <w:t>us,</w:t>
      </w:r>
      <w:r w:rsidRPr="00556382">
        <w:rPr>
          <w:color w:val="000000"/>
        </w:rPr>
        <w:t xml:space="preserve"> </w:t>
      </w:r>
      <w:r>
        <w:rPr>
          <w:color w:val="000000"/>
        </w:rPr>
        <w:t>ņem vērā</w:t>
      </w:r>
      <w:r w:rsidRPr="00556382">
        <w:rPr>
          <w:color w:val="000000"/>
        </w:rPr>
        <w:t xml:space="preserve"> </w:t>
      </w:r>
      <w:r>
        <w:rPr>
          <w:color w:val="000000"/>
        </w:rPr>
        <w:t xml:space="preserve">Centrālās Statistikas pārvaldes sagatavoto </w:t>
      </w:r>
      <w:proofErr w:type="spellStart"/>
      <w:r w:rsidRPr="00556382">
        <w:rPr>
          <w:color w:val="000000"/>
        </w:rPr>
        <w:t>ener</w:t>
      </w:r>
      <w:r>
        <w:rPr>
          <w:color w:val="000000"/>
        </w:rPr>
        <w:t>gobilanci</w:t>
      </w:r>
      <w:proofErr w:type="spellEnd"/>
      <w:r w:rsidRPr="00556382">
        <w:rPr>
          <w:color w:val="000000"/>
        </w:rPr>
        <w:t xml:space="preserve">, </w:t>
      </w:r>
      <w:r>
        <w:rPr>
          <w:color w:val="000000"/>
        </w:rPr>
        <w:t>kas</w:t>
      </w:r>
      <w:r w:rsidRPr="00556382">
        <w:rPr>
          <w:color w:val="000000"/>
        </w:rPr>
        <w:t xml:space="preserve"> </w:t>
      </w:r>
      <w:r w:rsidRPr="006E43DB">
        <w:rPr>
          <w:color w:val="000000"/>
        </w:rPr>
        <w:t>iesniegt</w:t>
      </w:r>
      <w:r>
        <w:rPr>
          <w:color w:val="000000"/>
        </w:rPr>
        <w:t>a</w:t>
      </w:r>
      <w:r w:rsidRPr="006E43DB">
        <w:rPr>
          <w:color w:val="000000"/>
        </w:rPr>
        <w:t xml:space="preserve"> Eiropas Savienības Statistikas birojam.</w:t>
      </w:r>
    </w:p>
    <w:p w:rsidR="003B4CA7" w:rsidRPr="00FF7933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56382">
        <w:rPr>
          <w:color w:val="000000"/>
        </w:rPr>
        <w:tab/>
        <w:t>4.</w:t>
      </w:r>
      <w:r w:rsidRPr="00556382">
        <w:rPr>
          <w:color w:val="000000"/>
        </w:rPr>
        <w:tab/>
        <w:t xml:space="preserve">Autotransporta emisijas aprēķina, pamatojoties uz </w:t>
      </w:r>
      <w:r>
        <w:rPr>
          <w:color w:val="000000"/>
        </w:rPr>
        <w:t xml:space="preserve">informāciju par </w:t>
      </w:r>
      <w:r w:rsidRPr="00556382">
        <w:rPr>
          <w:color w:val="000000"/>
        </w:rPr>
        <w:t>pārdotajām degvielām</w:t>
      </w:r>
      <w:r>
        <w:rPr>
          <w:color w:val="000000"/>
        </w:rPr>
        <w:t xml:space="preserve">. </w:t>
      </w:r>
      <w:r w:rsidRPr="00FF7933">
        <w:rPr>
          <w:color w:val="000000"/>
        </w:rPr>
        <w:t>Papildus var veikt aprēķinus, pamatojoties uz datiem par izmantotajām degvielām vai nobrauktajiem kilometriem valstī.</w:t>
      </w:r>
    </w:p>
    <w:p w:rsidR="003B4CA7" w:rsidRPr="00FF7933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7933">
        <w:rPr>
          <w:color w:val="000000"/>
        </w:rPr>
        <w:tab/>
        <w:t>5.</w:t>
      </w:r>
      <w:r w:rsidRPr="00FF7933">
        <w:rPr>
          <w:color w:val="000000"/>
        </w:rPr>
        <w:tab/>
      </w:r>
      <w:r w:rsidRPr="00FF7933">
        <w:t>Emisijas tiek atspoguļotas atbilstoši emisijas avotu kategorijām un vienībās, kas noteiktas atbilstoši Ženēvas konvencijas ietvaros ziņošanā izmantotajai nomenklatūrai.</w:t>
      </w:r>
    </w:p>
    <w:p w:rsidR="00D50AEA" w:rsidRDefault="00D50AEA" w:rsidP="00D50AEA">
      <w:pPr>
        <w:pStyle w:val="ti-grseq-1"/>
        <w:shd w:val="clear" w:color="auto" w:fill="FFFFFF"/>
        <w:spacing w:before="240" w:beforeAutospacing="0" w:after="120" w:afterAutospacing="0"/>
        <w:jc w:val="center"/>
        <w:rPr>
          <w:b/>
          <w:bCs/>
          <w:color w:val="000000"/>
        </w:rPr>
      </w:pPr>
      <w:r>
        <w:rPr>
          <w:rStyle w:val="bold"/>
          <w:rFonts w:ascii="inherit" w:hAnsi="inherit"/>
          <w:b/>
          <w:bCs/>
          <w:color w:val="000000"/>
        </w:rPr>
        <w:t>II. Informatīvais pārskata ziņojums</w:t>
      </w:r>
    </w:p>
    <w:p w:rsidR="00D50AEA" w:rsidRDefault="00D50AEA" w:rsidP="00D50AEA">
      <w:pPr>
        <w:pStyle w:val="Normal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>Informatīvo pārskata ziņojumu sagatavo saskaņā ar emisiju ziņošanas un aprēķinu vadlīnijām</w:t>
      </w:r>
      <w:r w:rsidRPr="00556382">
        <w:rPr>
          <w:color w:val="000000"/>
        </w:rPr>
        <w:t xml:space="preserve"> </w:t>
      </w:r>
      <w:r>
        <w:rPr>
          <w:color w:val="000000"/>
        </w:rPr>
        <w:t xml:space="preserve">un to sniedz, izmantojot vadlīnijās paredzēto pārskata ziņojuma veidni. </w:t>
      </w:r>
    </w:p>
    <w:p w:rsidR="00D50AEA" w:rsidRDefault="00D50AEA" w:rsidP="00D50AEA">
      <w:pPr>
        <w:pStyle w:val="Normal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>Pārskata ziņojumā iekļauj vismaz šādu informāciju:</w:t>
      </w:r>
    </w:p>
    <w:p w:rsidR="00D50AEA" w:rsidRDefault="00D50AEA" w:rsidP="00D50AEA">
      <w:pPr>
        <w:pStyle w:val="Normal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/>
        </w:rPr>
      </w:pPr>
      <w:r w:rsidRPr="00486F4B">
        <w:rPr>
          <w:color w:val="000000"/>
        </w:rPr>
        <w:t>ziņojuma kopsavilkum</w:t>
      </w:r>
      <w:r>
        <w:rPr>
          <w:color w:val="000000"/>
        </w:rPr>
        <w:t>u;</w:t>
      </w:r>
      <w:r w:rsidRPr="00486F4B">
        <w:rPr>
          <w:color w:val="000000"/>
        </w:rPr>
        <w:t xml:space="preserve"> </w:t>
      </w:r>
    </w:p>
    <w:p w:rsidR="00D50AEA" w:rsidRDefault="00BE0AE7" w:rsidP="00D50AEA">
      <w:pPr>
        <w:pStyle w:val="Normal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/>
        </w:rPr>
      </w:pPr>
      <w:r>
        <w:rPr>
          <w:color w:val="000000"/>
        </w:rPr>
        <w:t xml:space="preserve">ziņojuma par valsts kopējām emisijām </w:t>
      </w:r>
      <w:r w:rsidR="00D50AEA" w:rsidRPr="00486F4B">
        <w:rPr>
          <w:color w:val="000000"/>
        </w:rPr>
        <w:t>sagatavošanas institucionālās kārtības aprakst</w:t>
      </w:r>
      <w:r w:rsidR="00D50AEA">
        <w:rPr>
          <w:color w:val="000000"/>
        </w:rPr>
        <w:t>u</w:t>
      </w:r>
      <w:r w:rsidR="00D50AEA" w:rsidRPr="00486F4B">
        <w:rPr>
          <w:color w:val="000000"/>
        </w:rPr>
        <w:t>;</w:t>
      </w:r>
    </w:p>
    <w:p w:rsidR="00D50AEA" w:rsidRDefault="00D50AEA" w:rsidP="00D50AEA">
      <w:pPr>
        <w:pStyle w:val="Normal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/>
        </w:rPr>
      </w:pPr>
      <w:r w:rsidRPr="00486F4B">
        <w:rPr>
          <w:color w:val="000000"/>
        </w:rPr>
        <w:t>aprakst</w:t>
      </w:r>
      <w:r>
        <w:rPr>
          <w:color w:val="000000"/>
        </w:rPr>
        <w:t>u</w:t>
      </w:r>
      <w:r w:rsidRPr="00486F4B">
        <w:rPr>
          <w:color w:val="000000"/>
        </w:rPr>
        <w:t xml:space="preserve"> par galvenajām emisiju avotu kategorijām valsts līmenī;</w:t>
      </w:r>
    </w:p>
    <w:p w:rsidR="00D50AEA" w:rsidRDefault="00D50AEA" w:rsidP="00D50AEA">
      <w:pPr>
        <w:pStyle w:val="Normal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/>
        </w:rPr>
      </w:pPr>
      <w:r w:rsidRPr="00486F4B">
        <w:rPr>
          <w:color w:val="000000"/>
        </w:rPr>
        <w:t>konkrēto metožu, pieņēmumu, emisijas faktoru un darbības datu aprakst</w:t>
      </w:r>
      <w:r>
        <w:rPr>
          <w:color w:val="000000"/>
        </w:rPr>
        <w:t>u</w:t>
      </w:r>
      <w:r w:rsidRPr="00486F4B">
        <w:rPr>
          <w:color w:val="000000"/>
        </w:rPr>
        <w:t>, atsauces un informācijas avot</w:t>
      </w:r>
      <w:r>
        <w:rPr>
          <w:color w:val="000000"/>
        </w:rPr>
        <w:t>us</w:t>
      </w:r>
      <w:r w:rsidRPr="00486F4B">
        <w:rPr>
          <w:color w:val="000000"/>
        </w:rPr>
        <w:t>, kā arī to izvēles pamatojum</w:t>
      </w:r>
      <w:r>
        <w:rPr>
          <w:color w:val="000000"/>
        </w:rPr>
        <w:t>u</w:t>
      </w:r>
      <w:r w:rsidRPr="00486F4B">
        <w:rPr>
          <w:color w:val="000000"/>
        </w:rPr>
        <w:t>;</w:t>
      </w:r>
    </w:p>
    <w:p w:rsidR="00D50AEA" w:rsidRDefault="00D50AEA" w:rsidP="00D50AEA">
      <w:pPr>
        <w:pStyle w:val="Normal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/>
        </w:rPr>
      </w:pPr>
      <w:r w:rsidRPr="00486F4B">
        <w:rPr>
          <w:color w:val="000000"/>
        </w:rPr>
        <w:t>informācij</w:t>
      </w:r>
      <w:r>
        <w:rPr>
          <w:color w:val="000000"/>
        </w:rPr>
        <w:t>u</w:t>
      </w:r>
      <w:r w:rsidRPr="00486F4B">
        <w:rPr>
          <w:color w:val="000000"/>
        </w:rPr>
        <w:t xml:space="preserve"> par </w:t>
      </w:r>
      <w:r w:rsidR="00636966" w:rsidRPr="00486F4B">
        <w:rPr>
          <w:color w:val="000000"/>
        </w:rPr>
        <w:t>ne</w:t>
      </w:r>
      <w:r w:rsidR="00636966">
        <w:rPr>
          <w:color w:val="000000"/>
        </w:rPr>
        <w:t>precizitātēm</w:t>
      </w:r>
      <w:r w:rsidRPr="00486F4B">
        <w:rPr>
          <w:color w:val="000000"/>
        </w:rPr>
        <w:t>, kvalitātes nodrošināšanu un verifikāciju;</w:t>
      </w:r>
    </w:p>
    <w:p w:rsidR="00D50AEA" w:rsidRDefault="00D50AEA" w:rsidP="00D50AEA">
      <w:pPr>
        <w:pStyle w:val="Normal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/>
        </w:rPr>
      </w:pPr>
      <w:r w:rsidRPr="00486F4B">
        <w:rPr>
          <w:color w:val="000000"/>
        </w:rPr>
        <w:t>pārrēķin</w:t>
      </w:r>
      <w:r>
        <w:rPr>
          <w:color w:val="000000"/>
        </w:rPr>
        <w:t>us</w:t>
      </w:r>
      <w:r w:rsidRPr="00486F4B">
        <w:rPr>
          <w:color w:val="000000"/>
        </w:rPr>
        <w:t xml:space="preserve"> un plānot</w:t>
      </w:r>
      <w:r>
        <w:rPr>
          <w:color w:val="000000"/>
        </w:rPr>
        <w:t>os</w:t>
      </w:r>
      <w:r w:rsidRPr="00486F4B">
        <w:rPr>
          <w:color w:val="000000"/>
        </w:rPr>
        <w:t xml:space="preserve"> uzlabojum</w:t>
      </w:r>
      <w:r>
        <w:rPr>
          <w:color w:val="000000"/>
        </w:rPr>
        <w:t>us</w:t>
      </w:r>
      <w:r w:rsidRPr="00486F4B">
        <w:rPr>
          <w:color w:val="000000"/>
        </w:rPr>
        <w:t>;</w:t>
      </w:r>
    </w:p>
    <w:p w:rsidR="008B6940" w:rsidRDefault="00BA6C63" w:rsidP="00D50AEA">
      <w:pPr>
        <w:pStyle w:val="Normal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/>
        </w:rPr>
      </w:pPr>
      <w:r>
        <w:rPr>
          <w:color w:val="000000"/>
        </w:rPr>
        <w:t xml:space="preserve">šī pielikuma III nodaļā minēto </w:t>
      </w:r>
      <w:r w:rsidR="007F7256">
        <w:rPr>
          <w:color w:val="000000"/>
        </w:rPr>
        <w:t xml:space="preserve">informāciju un aprakstu </w:t>
      </w:r>
      <w:r w:rsidR="008B6940">
        <w:rPr>
          <w:color w:val="000000"/>
        </w:rPr>
        <w:t>par sagatavotajiem emisiju prognožu aprēķiniem un izdarītajiem pieņēmumiem;</w:t>
      </w:r>
    </w:p>
    <w:p w:rsidR="007F7256" w:rsidRDefault="007F7256" w:rsidP="00D50AEA">
      <w:pPr>
        <w:pStyle w:val="Normal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/>
        </w:rPr>
      </w:pPr>
      <w:r>
        <w:rPr>
          <w:color w:val="000000"/>
        </w:rPr>
        <w:t>par sagatavotajām emisiju kartēm un lielo stacionāro avotu radīto emisiju ziņojumu, kas izstrādāts atbilstoši</w:t>
      </w:r>
      <w:r w:rsidRPr="007F7256">
        <w:rPr>
          <w:color w:val="000000"/>
        </w:rPr>
        <w:t xml:space="preserve"> </w:t>
      </w:r>
      <w:r>
        <w:rPr>
          <w:color w:val="000000"/>
        </w:rPr>
        <w:t>šo noteikumu 2</w:t>
      </w:r>
      <w:r w:rsidR="004F4902">
        <w:rPr>
          <w:color w:val="000000"/>
        </w:rPr>
        <w:t>8</w:t>
      </w:r>
      <w:r>
        <w:rPr>
          <w:color w:val="000000"/>
        </w:rPr>
        <w:t>.</w:t>
      </w:r>
      <w:r w:rsidR="00CF6B4D">
        <w:rPr>
          <w:color w:val="000000"/>
        </w:rPr>
        <w:t>3</w:t>
      </w:r>
      <w:r>
        <w:rPr>
          <w:color w:val="000000"/>
        </w:rPr>
        <w:t>. un 2</w:t>
      </w:r>
      <w:r w:rsidR="004F4902">
        <w:rPr>
          <w:color w:val="000000"/>
        </w:rPr>
        <w:t>8</w:t>
      </w:r>
      <w:r>
        <w:rPr>
          <w:color w:val="000000"/>
        </w:rPr>
        <w:t>.</w:t>
      </w:r>
      <w:r w:rsidR="00CF6B4D">
        <w:rPr>
          <w:color w:val="000000"/>
        </w:rPr>
        <w:t>4</w:t>
      </w:r>
      <w:r>
        <w:rPr>
          <w:color w:val="000000"/>
        </w:rPr>
        <w:t>. </w:t>
      </w:r>
      <w:r w:rsidR="008B6940">
        <w:rPr>
          <w:color w:val="000000"/>
        </w:rPr>
        <w:t>apakš</w:t>
      </w:r>
      <w:r>
        <w:rPr>
          <w:color w:val="000000"/>
        </w:rPr>
        <w:t>punktam;</w:t>
      </w:r>
    </w:p>
    <w:p w:rsidR="00D50AEA" w:rsidRPr="00DF5002" w:rsidRDefault="00D50AEA" w:rsidP="00D50AEA">
      <w:pPr>
        <w:pStyle w:val="Normal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/>
        </w:rPr>
      </w:pPr>
      <w:r w:rsidRPr="004B3598">
        <w:rPr>
          <w:color w:val="000000"/>
        </w:rPr>
        <w:t xml:space="preserve">ja nepieciešams, informāciju par šo noteikumu </w:t>
      </w:r>
      <w:r w:rsidRPr="004B3598">
        <w:t xml:space="preserve">šo noteikumu </w:t>
      </w:r>
      <w:r w:rsidR="004F4902" w:rsidRPr="004B3598">
        <w:t>1</w:t>
      </w:r>
      <w:r w:rsidR="004F4902">
        <w:t>7</w:t>
      </w:r>
      <w:r w:rsidRPr="004B3598">
        <w:t xml:space="preserve">., </w:t>
      </w:r>
      <w:r w:rsidR="004F4902" w:rsidRPr="004B3598">
        <w:t>1</w:t>
      </w:r>
      <w:r w:rsidR="004F4902">
        <w:t>8</w:t>
      </w:r>
      <w:r w:rsidRPr="004B3598">
        <w:t xml:space="preserve">., </w:t>
      </w:r>
      <w:r w:rsidR="004F4902">
        <w:t>19</w:t>
      </w:r>
      <w:r w:rsidRPr="004B3598">
        <w:t xml:space="preserve">. vai </w:t>
      </w:r>
      <w:r w:rsidR="004F4902" w:rsidRPr="004B3598">
        <w:t>2</w:t>
      </w:r>
      <w:r w:rsidR="004F4902">
        <w:t>0</w:t>
      </w:r>
      <w:r w:rsidRPr="004B3598">
        <w:t>. punktā minēto atkāpju</w:t>
      </w:r>
      <w:r w:rsidRPr="00DF5002">
        <w:t xml:space="preserve"> izmantošanu</w:t>
      </w:r>
      <w:r w:rsidRPr="00DF5002">
        <w:rPr>
          <w:color w:val="000000"/>
        </w:rPr>
        <w:t>;</w:t>
      </w:r>
    </w:p>
    <w:p w:rsidR="00BE0AE7" w:rsidRPr="007F7256" w:rsidRDefault="00D50AEA" w:rsidP="007F7256">
      <w:pPr>
        <w:pStyle w:val="Normal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/>
        </w:rPr>
      </w:pPr>
      <w:r w:rsidRPr="006877B7">
        <w:t xml:space="preserve">ja atbilstoši šo noteikumu </w:t>
      </w:r>
      <w:r w:rsidR="00CF6B4D">
        <w:t>1</w:t>
      </w:r>
      <w:r w:rsidR="004F4902">
        <w:t>6</w:t>
      </w:r>
      <w:r w:rsidRPr="006877B7">
        <w:t xml:space="preserve">. punktam kādai no gaisu piesārņojošajām vielām netiek nodrošināta atbilstība 2025. gada </w:t>
      </w:r>
      <w:proofErr w:type="spellStart"/>
      <w:r w:rsidRPr="006877B7">
        <w:t>starpmērķim</w:t>
      </w:r>
      <w:proofErr w:type="spellEnd"/>
      <w:r>
        <w:rPr>
          <w:color w:val="000000"/>
        </w:rPr>
        <w:t>,</w:t>
      </w:r>
      <w:r w:rsidRPr="006877B7">
        <w:rPr>
          <w:color w:val="000000"/>
        </w:rPr>
        <w:t xml:space="preserve"> sniedz informāciju par iemesliem, kāpēc nav iespējams nodrošināt atbilstību 2025. gadam noteiktajam </w:t>
      </w:r>
      <w:proofErr w:type="spellStart"/>
      <w:r w:rsidRPr="006877B7">
        <w:rPr>
          <w:color w:val="000000"/>
        </w:rPr>
        <w:t>starpmērķim</w:t>
      </w:r>
      <w:proofErr w:type="spellEnd"/>
      <w:r w:rsidRPr="006877B7">
        <w:rPr>
          <w:color w:val="000000"/>
        </w:rPr>
        <w:t>, kā arī pasākumiem, ar kuriem tuvinās emisiju samazināšanas mērķiem</w:t>
      </w:r>
    </w:p>
    <w:p w:rsidR="003B4CA7" w:rsidRDefault="003B4CA7" w:rsidP="003B4CA7">
      <w:pPr>
        <w:pStyle w:val="ti-grseq-1"/>
        <w:shd w:val="clear" w:color="auto" w:fill="FFFFFF"/>
        <w:spacing w:before="240" w:beforeAutospacing="0" w:after="120" w:afterAutospacing="0"/>
        <w:jc w:val="center"/>
        <w:rPr>
          <w:b/>
          <w:bCs/>
          <w:color w:val="000000"/>
        </w:rPr>
      </w:pPr>
      <w:r>
        <w:rPr>
          <w:rStyle w:val="bold"/>
          <w:rFonts w:ascii="inherit" w:hAnsi="inherit"/>
          <w:b/>
          <w:bCs/>
          <w:color w:val="000000"/>
        </w:rPr>
        <w:t>II</w:t>
      </w:r>
      <w:r w:rsidR="00D50AEA">
        <w:rPr>
          <w:rStyle w:val="bold"/>
          <w:rFonts w:ascii="inherit" w:hAnsi="inherit"/>
          <w:b/>
          <w:bCs/>
          <w:color w:val="000000"/>
        </w:rPr>
        <w:t>I</w:t>
      </w:r>
      <w:r>
        <w:rPr>
          <w:rStyle w:val="bold"/>
          <w:rFonts w:ascii="inherit" w:hAnsi="inherit"/>
          <w:b/>
          <w:bCs/>
          <w:color w:val="000000"/>
        </w:rPr>
        <w:t>. Emisiju prognozes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1. E</w:t>
      </w:r>
      <w:r w:rsidRPr="00FF7933">
        <w:rPr>
          <w:bCs/>
          <w:color w:val="000000"/>
        </w:rPr>
        <w:t>misiju prognoz</w:t>
      </w:r>
      <w:r>
        <w:rPr>
          <w:bCs/>
          <w:color w:val="000000"/>
        </w:rPr>
        <w:t>ēm jābūt pārredzamām, konsekventām, salīdzināmām, pilnīgām un precīzām</w:t>
      </w:r>
      <w:r w:rsidRPr="00FF7933">
        <w:rPr>
          <w:bCs/>
          <w:color w:val="000000"/>
        </w:rPr>
        <w:t xml:space="preserve">, un </w:t>
      </w:r>
      <w:r>
        <w:rPr>
          <w:bCs/>
          <w:color w:val="000000"/>
        </w:rPr>
        <w:t>tām</w:t>
      </w:r>
      <w:r w:rsidRPr="00FF7933">
        <w:rPr>
          <w:bCs/>
          <w:color w:val="000000"/>
        </w:rPr>
        <w:t xml:space="preserve"> </w:t>
      </w:r>
      <w:r>
        <w:rPr>
          <w:bCs/>
          <w:color w:val="000000"/>
        </w:rPr>
        <w:t>jā</w:t>
      </w:r>
      <w:r w:rsidRPr="00FF7933">
        <w:rPr>
          <w:bCs/>
          <w:color w:val="000000"/>
        </w:rPr>
        <w:t>ietver vismaz šādus elementus: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>1.1. </w:t>
      </w:r>
      <w:r w:rsidRPr="00FF7933">
        <w:rPr>
          <w:bCs/>
          <w:color w:val="000000"/>
        </w:rPr>
        <w:t>skaidras norādes par pieņemto un plānoto politiku un pasā</w:t>
      </w:r>
      <w:r>
        <w:rPr>
          <w:bCs/>
          <w:color w:val="000000"/>
        </w:rPr>
        <w:t>kumiem, kas ietverti prognozēs;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1.2. </w:t>
      </w:r>
      <w:r w:rsidRPr="00FF7933">
        <w:rPr>
          <w:bCs/>
          <w:color w:val="000000"/>
        </w:rPr>
        <w:t>attiecīgā gadījumā – saistībā ar prognozēm veikt</w:t>
      </w:r>
      <w:r>
        <w:rPr>
          <w:bCs/>
          <w:color w:val="000000"/>
        </w:rPr>
        <w:t>as jutīguma analīzes rezultāti;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1.3. </w:t>
      </w:r>
      <w:r w:rsidRPr="00FF7933">
        <w:rPr>
          <w:bCs/>
          <w:color w:val="000000"/>
        </w:rPr>
        <w:t xml:space="preserve">metožu, modeļu, pamata pieņēmumu un galveno </w:t>
      </w:r>
      <w:proofErr w:type="spellStart"/>
      <w:r w:rsidRPr="00FF7933">
        <w:rPr>
          <w:bCs/>
          <w:color w:val="000000"/>
        </w:rPr>
        <w:t>ievadparame</w:t>
      </w:r>
      <w:r>
        <w:rPr>
          <w:bCs/>
          <w:color w:val="000000"/>
        </w:rPr>
        <w:t>tru</w:t>
      </w:r>
      <w:proofErr w:type="spellEnd"/>
      <w:r>
        <w:rPr>
          <w:bCs/>
          <w:color w:val="000000"/>
        </w:rPr>
        <w:t xml:space="preserve"> un </w:t>
      </w:r>
      <w:proofErr w:type="spellStart"/>
      <w:r>
        <w:rPr>
          <w:bCs/>
          <w:color w:val="000000"/>
        </w:rPr>
        <w:t>izvadparametru</w:t>
      </w:r>
      <w:proofErr w:type="spellEnd"/>
      <w:r>
        <w:rPr>
          <w:bCs/>
          <w:color w:val="000000"/>
        </w:rPr>
        <w:t xml:space="preserve"> apraksts.</w:t>
      </w:r>
    </w:p>
    <w:p w:rsidR="003B4CA7" w:rsidRPr="005F0F2B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2. E</w:t>
      </w:r>
      <w:r w:rsidRPr="00FF7933">
        <w:rPr>
          <w:bCs/>
          <w:color w:val="000000"/>
        </w:rPr>
        <w:t xml:space="preserve">misiju prognozes aprēķina un apkopo pa attiecīgajām avotu nozarēm. Par katru piesārņojošo vielu saskaņā ar </w:t>
      </w:r>
      <w:r>
        <w:rPr>
          <w:color w:val="000000"/>
        </w:rPr>
        <w:t xml:space="preserve">emisiju </w:t>
      </w:r>
      <w:r w:rsidR="000E7EF4">
        <w:rPr>
          <w:color w:val="000000"/>
        </w:rPr>
        <w:t xml:space="preserve">ziņošanas un </w:t>
      </w:r>
      <w:r>
        <w:rPr>
          <w:color w:val="000000"/>
        </w:rPr>
        <w:t>aprēķinu vadlīnijās</w:t>
      </w:r>
      <w:r w:rsidRPr="00556382">
        <w:rPr>
          <w:color w:val="000000"/>
        </w:rPr>
        <w:t xml:space="preserve"> </w:t>
      </w:r>
      <w:r w:rsidRPr="00FF7933">
        <w:rPr>
          <w:bCs/>
          <w:color w:val="000000"/>
        </w:rPr>
        <w:t>sniegtiem norādījumiem norāda prognozes “ar pasākumiem” (pieņemtie pasākumi) un – attiecīgā gadījumā – prognozes “ar papild</w:t>
      </w:r>
      <w:r>
        <w:rPr>
          <w:bCs/>
          <w:color w:val="000000"/>
        </w:rPr>
        <w:t xml:space="preserve">us </w:t>
      </w:r>
      <w:r w:rsidRPr="00FF7933">
        <w:rPr>
          <w:bCs/>
          <w:color w:val="000000"/>
        </w:rPr>
        <w:t>pasākumiem” (plānotie pasākumi).</w:t>
      </w:r>
    </w:p>
    <w:p w:rsidR="003B4CA7" w:rsidRPr="005F0F2B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 w:rsidRPr="005F0F2B">
        <w:rPr>
          <w:bCs/>
          <w:color w:val="000000"/>
        </w:rPr>
        <w:t>3. Emisiju prognoz</w:t>
      </w:r>
      <w:r>
        <w:rPr>
          <w:bCs/>
          <w:color w:val="000000"/>
        </w:rPr>
        <w:t>ēs izmantotajiem pieņēmumiem jāsaskan ar tiem pieņēmumiem, kas izdarīti sagatavojot</w:t>
      </w:r>
      <w:r w:rsidRPr="005F0F2B">
        <w:rPr>
          <w:bCs/>
          <w:color w:val="000000"/>
        </w:rPr>
        <w:t xml:space="preserve"> ikgadēj</w:t>
      </w:r>
      <w:r>
        <w:rPr>
          <w:bCs/>
          <w:color w:val="000000"/>
        </w:rPr>
        <w:t>o siltumnīcefekta gāzu</w:t>
      </w:r>
      <w:r w:rsidRPr="005F0F2B">
        <w:rPr>
          <w:bCs/>
          <w:color w:val="000000"/>
        </w:rPr>
        <w:t xml:space="preserve"> emisiju pārskat</w:t>
      </w:r>
      <w:r>
        <w:rPr>
          <w:bCs/>
          <w:color w:val="000000"/>
        </w:rPr>
        <w:t>u</w:t>
      </w:r>
      <w:r w:rsidRPr="005F0F2B">
        <w:rPr>
          <w:bCs/>
          <w:color w:val="000000"/>
        </w:rPr>
        <w:t xml:space="preserve"> un </w:t>
      </w:r>
      <w:r>
        <w:rPr>
          <w:bCs/>
          <w:color w:val="000000"/>
        </w:rPr>
        <w:t>siltumnīcefekta gāzu emisiju prognozes atbilstoši normatīvajiem aktiem par s</w:t>
      </w:r>
      <w:r w:rsidRPr="005F0F2B">
        <w:rPr>
          <w:bCs/>
          <w:color w:val="000000"/>
        </w:rPr>
        <w:t>iltumnīcefekta gāzu inventarizācijas un prognožu sagatavošanas nacionālās sistēmas izveidošan</w:t>
      </w:r>
      <w:r>
        <w:rPr>
          <w:bCs/>
          <w:color w:val="000000"/>
        </w:rPr>
        <w:t>u</w:t>
      </w:r>
      <w:r w:rsidRPr="005F0F2B">
        <w:rPr>
          <w:bCs/>
          <w:color w:val="000000"/>
        </w:rPr>
        <w:t xml:space="preserve"> un uzturēšan</w:t>
      </w:r>
      <w:r>
        <w:rPr>
          <w:bCs/>
          <w:color w:val="000000"/>
        </w:rPr>
        <w:t>u sniegto informāciju.</w:t>
      </w:r>
    </w:p>
    <w:p w:rsidR="003B4CA7" w:rsidRPr="003F0631" w:rsidRDefault="003B4CA7" w:rsidP="003B4CA7">
      <w:pPr>
        <w:pStyle w:val="Normal1"/>
        <w:shd w:val="clear" w:color="auto" w:fill="FFFFFF"/>
        <w:spacing w:before="0" w:beforeAutospacing="0" w:after="0" w:afterAutospacing="0"/>
        <w:ind w:left="851"/>
        <w:jc w:val="both"/>
        <w:rPr>
          <w:color w:val="000000"/>
        </w:rPr>
      </w:pPr>
    </w:p>
    <w:p w:rsidR="003B4CA7" w:rsidRPr="009529ED" w:rsidRDefault="003B4CA7" w:rsidP="003B4CA7">
      <w:pPr>
        <w:pStyle w:val="ti-grseq-1"/>
        <w:shd w:val="clear" w:color="auto" w:fill="FFFFFF"/>
        <w:spacing w:before="240" w:beforeAutospacing="0" w:after="120" w:afterAutospacing="0"/>
        <w:jc w:val="center"/>
        <w:rPr>
          <w:b/>
        </w:rPr>
      </w:pPr>
      <w:r w:rsidRPr="009529ED">
        <w:rPr>
          <w:rStyle w:val="bold"/>
          <w:rFonts w:ascii="inherit" w:hAnsi="inherit"/>
          <w:b/>
          <w:bCs/>
          <w:color w:val="000000"/>
        </w:rPr>
        <w:t>IV. </w:t>
      </w:r>
      <w:r>
        <w:rPr>
          <w:b/>
        </w:rPr>
        <w:t>Koriģētie</w:t>
      </w:r>
      <w:r w:rsidRPr="009529ED">
        <w:rPr>
          <w:b/>
        </w:rPr>
        <w:t xml:space="preserve"> emisiju ziņojumi, kas tiek sagatavoti atbilstoši šo noteikumu </w:t>
      </w:r>
      <w:r w:rsidR="004F4902" w:rsidRPr="009529ED">
        <w:rPr>
          <w:b/>
        </w:rPr>
        <w:t>1</w:t>
      </w:r>
      <w:r w:rsidR="004F4902">
        <w:rPr>
          <w:b/>
        </w:rPr>
        <w:t>7</w:t>
      </w:r>
      <w:r w:rsidRPr="009529ED">
        <w:rPr>
          <w:b/>
        </w:rPr>
        <w:t>. punktam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 xml:space="preserve">1. Eiropas </w:t>
      </w:r>
      <w:r w:rsidRPr="009529ED">
        <w:rPr>
          <w:bCs/>
          <w:color w:val="000000"/>
        </w:rPr>
        <w:t>Komisijai adresētajā priekšlikumā</w:t>
      </w:r>
      <w:r>
        <w:rPr>
          <w:bCs/>
          <w:color w:val="000000"/>
        </w:rPr>
        <w:t xml:space="preserve">, kas sagatavots atbilstoši šo noteikumu 25. punktam </w:t>
      </w:r>
      <w:r w:rsidRPr="009529ED">
        <w:rPr>
          <w:bCs/>
          <w:color w:val="000000"/>
        </w:rPr>
        <w:t>iekļauj vismaz šādus apstiprinošus dokumentus: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1.1. </w:t>
      </w:r>
      <w:r w:rsidRPr="009529ED">
        <w:rPr>
          <w:bCs/>
          <w:color w:val="000000"/>
        </w:rPr>
        <w:t>pierādījums, ka attiecīg</w:t>
      </w:r>
      <w:r>
        <w:rPr>
          <w:bCs/>
          <w:color w:val="000000"/>
        </w:rPr>
        <w:t>ie emisiju samazināšanas mērķi</w:t>
      </w:r>
      <w:r w:rsidRPr="009529ED">
        <w:rPr>
          <w:bCs/>
          <w:color w:val="000000"/>
        </w:rPr>
        <w:t xml:space="preserve"> ir pārsniegt</w:t>
      </w:r>
      <w:r>
        <w:rPr>
          <w:bCs/>
          <w:color w:val="000000"/>
        </w:rPr>
        <w:t>i</w:t>
      </w:r>
      <w:r w:rsidRPr="009529ED">
        <w:rPr>
          <w:bCs/>
          <w:color w:val="000000"/>
        </w:rPr>
        <w:t>;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1.2. </w:t>
      </w:r>
      <w:r w:rsidRPr="009529ED">
        <w:rPr>
          <w:bCs/>
          <w:color w:val="000000"/>
        </w:rPr>
        <w:t>pierādījums par to, cik lielā mērā emisiju pārskata koriģēšana samazina pārsniegto daudzumu un sekmē atbilstību attiecīgaj</w:t>
      </w:r>
      <w:r>
        <w:rPr>
          <w:bCs/>
          <w:color w:val="000000"/>
        </w:rPr>
        <w:t>am emisiju samazināšanas mērķim</w:t>
      </w:r>
      <w:r w:rsidRPr="009529ED">
        <w:rPr>
          <w:bCs/>
          <w:color w:val="000000"/>
        </w:rPr>
        <w:t>;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1.3. </w:t>
      </w:r>
      <w:r w:rsidRPr="009529ED">
        <w:rPr>
          <w:bCs/>
          <w:color w:val="000000"/>
        </w:rPr>
        <w:t xml:space="preserve">novērtējums par to, vai un kad paredzēts sasniegt </w:t>
      </w:r>
      <w:r>
        <w:rPr>
          <w:bCs/>
          <w:color w:val="000000"/>
        </w:rPr>
        <w:t>emisiju samazināšanas mērķus</w:t>
      </w:r>
      <w:r w:rsidRPr="009529ED">
        <w:rPr>
          <w:bCs/>
          <w:color w:val="000000"/>
        </w:rPr>
        <w:t>, pamatojoties uz nekoriģētām emisiju prognozēm;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1.4. </w:t>
      </w:r>
      <w:r w:rsidRPr="009529ED">
        <w:rPr>
          <w:bCs/>
          <w:color w:val="000000"/>
        </w:rPr>
        <w:t xml:space="preserve">pierādījums, ka </w:t>
      </w:r>
      <w:r>
        <w:rPr>
          <w:bCs/>
          <w:color w:val="000000"/>
        </w:rPr>
        <w:t xml:space="preserve">emisiju datu </w:t>
      </w:r>
      <w:r w:rsidRPr="009529ED">
        <w:rPr>
          <w:bCs/>
          <w:color w:val="000000"/>
        </w:rPr>
        <w:t>koriģēšana atbilst vienam vai vair</w:t>
      </w:r>
      <w:r>
        <w:rPr>
          <w:bCs/>
          <w:color w:val="000000"/>
        </w:rPr>
        <w:t>ākiem šādiem trīs nosacījumiem</w:t>
      </w:r>
      <w:r w:rsidRPr="0088166C">
        <w:rPr>
          <w:bCs/>
          <w:color w:val="000000"/>
        </w:rPr>
        <w:t xml:space="preserve"> </w:t>
      </w:r>
      <w:r>
        <w:rPr>
          <w:bCs/>
          <w:color w:val="000000"/>
        </w:rPr>
        <w:t>(v</w:t>
      </w:r>
      <w:r w:rsidRPr="009529ED">
        <w:rPr>
          <w:bCs/>
          <w:color w:val="000000"/>
        </w:rPr>
        <w:t>ajadzības gadījumā var iekļaut atsauci uz attiecīgaj</w:t>
      </w:r>
      <w:r>
        <w:rPr>
          <w:bCs/>
          <w:color w:val="000000"/>
        </w:rPr>
        <w:t>ām iepriekš veiktām korekcijām):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1.4.1. </w:t>
      </w:r>
      <w:r w:rsidRPr="009529ED">
        <w:rPr>
          <w:bCs/>
          <w:color w:val="000000"/>
        </w:rPr>
        <w:t>attiecībā uz ja</w:t>
      </w:r>
      <w:r>
        <w:rPr>
          <w:bCs/>
          <w:color w:val="000000"/>
        </w:rPr>
        <w:t>unām emisiju avotu kategorijām: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9529ED">
        <w:rPr>
          <w:bCs/>
          <w:color w:val="000000"/>
        </w:rPr>
        <w:t>pierādījums, ka jaunā emisiju avota kategorija ir atzīta zinātniskajā literatūr</w:t>
      </w:r>
      <w:r>
        <w:rPr>
          <w:bCs/>
          <w:color w:val="000000"/>
        </w:rPr>
        <w:t xml:space="preserve">ā un/vai emisiju </w:t>
      </w:r>
      <w:r w:rsidR="000E7EF4">
        <w:rPr>
          <w:bCs/>
          <w:color w:val="000000"/>
        </w:rPr>
        <w:t xml:space="preserve">ziņošanas un </w:t>
      </w:r>
      <w:r>
        <w:rPr>
          <w:bCs/>
          <w:color w:val="000000"/>
        </w:rPr>
        <w:t>aprēķinu vadlīnijās;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9529ED">
        <w:rPr>
          <w:bCs/>
          <w:color w:val="000000"/>
        </w:rPr>
        <w:t>pierādījums, ka šī avota kategorija nav iekļauta attiecīgajā vēsturisko emisiju pārskatā tad, kad tika noteikt</w:t>
      </w:r>
      <w:r>
        <w:rPr>
          <w:bCs/>
          <w:color w:val="000000"/>
        </w:rPr>
        <w:t>i</w:t>
      </w:r>
      <w:r w:rsidRPr="009529ED">
        <w:rPr>
          <w:bCs/>
          <w:color w:val="000000"/>
        </w:rPr>
        <w:t xml:space="preserve"> emisiju samazināšanas</w:t>
      </w:r>
      <w:r>
        <w:rPr>
          <w:bCs/>
          <w:color w:val="000000"/>
        </w:rPr>
        <w:t xml:space="preserve"> mērķi;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9529ED">
        <w:rPr>
          <w:bCs/>
          <w:color w:val="000000"/>
        </w:rPr>
        <w:t xml:space="preserve">pierādījums, ka emisijas no jaunas avotu kategorijas neļauj izpildīt emisiju samazināšanas </w:t>
      </w:r>
      <w:r>
        <w:rPr>
          <w:bCs/>
          <w:color w:val="000000"/>
        </w:rPr>
        <w:t>mērķus</w:t>
      </w:r>
      <w:r w:rsidRPr="009529ED">
        <w:rPr>
          <w:bCs/>
          <w:color w:val="000000"/>
        </w:rPr>
        <w:t xml:space="preserve">, ko papildina detalizēts metožu apraksts, dati par emisijām un emisijas faktori, kas </w:t>
      </w:r>
      <w:r>
        <w:rPr>
          <w:bCs/>
          <w:color w:val="000000"/>
        </w:rPr>
        <w:t>ļauj izdarīt minēto secinājumu.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1.4.2. </w:t>
      </w:r>
      <w:r w:rsidRPr="009529ED">
        <w:rPr>
          <w:bCs/>
          <w:color w:val="000000"/>
        </w:rPr>
        <w:t xml:space="preserve">attiecībā uz ievērojami atšķirīgiem emisijas faktoriem, ko izmanto konkrētu avotu </w:t>
      </w:r>
      <w:r>
        <w:rPr>
          <w:bCs/>
          <w:color w:val="000000"/>
        </w:rPr>
        <w:t>kategoriju emisiju noteikšanai: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9529ED">
        <w:rPr>
          <w:bCs/>
          <w:color w:val="000000"/>
        </w:rPr>
        <w:t>sākotnējo emisijas faktoru apraksts, kurā ietverts arī detalizēts apraksts par emisijas faktoru noteikšanā i</w:t>
      </w:r>
      <w:r>
        <w:rPr>
          <w:bCs/>
          <w:color w:val="000000"/>
        </w:rPr>
        <w:t>zmantoto zinātnisko pamatojumu;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9529ED">
        <w:rPr>
          <w:bCs/>
          <w:color w:val="000000"/>
        </w:rPr>
        <w:t xml:space="preserve">pierādījums, ka sākotnējie emisijas faktori ir izmantoti </w:t>
      </w:r>
      <w:r>
        <w:rPr>
          <w:bCs/>
          <w:color w:val="000000"/>
        </w:rPr>
        <w:t xml:space="preserve">laikā, kad tika noteikti </w:t>
      </w:r>
      <w:r w:rsidRPr="009529ED">
        <w:rPr>
          <w:bCs/>
          <w:color w:val="000000"/>
        </w:rPr>
        <w:t xml:space="preserve">emisiju </w:t>
      </w:r>
      <w:r>
        <w:rPr>
          <w:bCs/>
          <w:color w:val="000000"/>
        </w:rPr>
        <w:t>samazināšanas mērķi;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9529ED">
        <w:rPr>
          <w:bCs/>
          <w:color w:val="000000"/>
        </w:rPr>
        <w:t>atjaunināto emisijas faktoru apraksts, kurā ietverta arī detalizēta informācija par emisijas faktora noteikšanā izmant</w:t>
      </w:r>
      <w:r>
        <w:rPr>
          <w:bCs/>
          <w:color w:val="000000"/>
        </w:rPr>
        <w:t>oto zinātnisko pamatojumu;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9529ED">
        <w:rPr>
          <w:bCs/>
          <w:color w:val="000000"/>
        </w:rPr>
        <w:t xml:space="preserve">emisiju aplēšu salīdzinājums, kas veikts, izmantojot sākotnējos un atjauninātos emisijas faktorus, un kas apliecina, ka emisijas faktoru maiņa neļauj izpildīt </w:t>
      </w:r>
      <w:r>
        <w:rPr>
          <w:bCs/>
          <w:color w:val="000000"/>
        </w:rPr>
        <w:t>emisiju samazināšanas mērķus;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9529ED">
        <w:rPr>
          <w:bCs/>
          <w:color w:val="000000"/>
        </w:rPr>
        <w:t>pamatojums lēmumam par to, vai emisija</w:t>
      </w:r>
      <w:r>
        <w:rPr>
          <w:bCs/>
          <w:color w:val="000000"/>
        </w:rPr>
        <w:t>s faktoru izmaiņas ir būtiskas.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1.4.3. </w:t>
      </w:r>
      <w:r w:rsidRPr="009529ED">
        <w:rPr>
          <w:bCs/>
          <w:color w:val="000000"/>
        </w:rPr>
        <w:t xml:space="preserve">attiecībā uz ievērojami atšķirīgām metodēm, ko izmanto konkrētu avotu </w:t>
      </w:r>
      <w:r>
        <w:rPr>
          <w:bCs/>
          <w:color w:val="000000"/>
        </w:rPr>
        <w:t>kategoriju emisiju noteikšanai: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9529ED">
        <w:rPr>
          <w:bCs/>
          <w:color w:val="000000"/>
        </w:rPr>
        <w:t xml:space="preserve">sākotnēji izmantoto metožu apraksts, kurā ietverta arī detalizēta informācija par emisijas faktora noteikšanā </w:t>
      </w:r>
      <w:r>
        <w:rPr>
          <w:bCs/>
          <w:color w:val="000000"/>
        </w:rPr>
        <w:t>izmantoto zinātnisko pamatojumu;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 xml:space="preserve">- </w:t>
      </w:r>
      <w:r w:rsidRPr="009529ED">
        <w:rPr>
          <w:bCs/>
          <w:color w:val="000000"/>
        </w:rPr>
        <w:t>pierādījums, ka sākotnējās metodes ir izmantotas emisiju samazinājumu noteikšanai laikā, kad t</w:t>
      </w:r>
      <w:r>
        <w:rPr>
          <w:bCs/>
          <w:color w:val="000000"/>
        </w:rPr>
        <w:t>ika paredzēti šie samazinājumi;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9529ED">
        <w:rPr>
          <w:bCs/>
          <w:color w:val="000000"/>
        </w:rPr>
        <w:t>izmantoto atjaunināto metožu apraksts, kurā ietverts arī detalizēts apraksts par metožu noteikšanā izmantoto zin</w:t>
      </w:r>
      <w:r>
        <w:rPr>
          <w:bCs/>
          <w:color w:val="000000"/>
        </w:rPr>
        <w:t>ātnisko pamatojumu vai atsauci;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9529ED">
        <w:rPr>
          <w:bCs/>
          <w:color w:val="000000"/>
        </w:rPr>
        <w:t xml:space="preserve">emisiju aplēšu salīdzinājums, kas veikts, izmantojot sākotnējās un atjauninātās metodes, un kas apliecina, ka metožu maiņa neļauj izpildīt </w:t>
      </w:r>
      <w:r>
        <w:rPr>
          <w:bCs/>
          <w:color w:val="000000"/>
        </w:rPr>
        <w:t>emisiju samazināšanas mērķus;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9529ED">
        <w:rPr>
          <w:bCs/>
          <w:color w:val="000000"/>
        </w:rPr>
        <w:t>pamatojums lēmumam par to, vai metožu izmaiņas ir būtiskas.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2. K</w:t>
      </w:r>
      <w:r w:rsidRPr="009529ED">
        <w:rPr>
          <w:bCs/>
          <w:color w:val="000000"/>
        </w:rPr>
        <w:t>oriģētās emisijas</w:t>
      </w:r>
      <w:r w:rsidRPr="00272F9F">
        <w:rPr>
          <w:bCs/>
          <w:color w:val="000000"/>
        </w:rPr>
        <w:t xml:space="preserve"> </w:t>
      </w:r>
      <w:r w:rsidRPr="009529ED">
        <w:rPr>
          <w:bCs/>
          <w:color w:val="000000"/>
        </w:rPr>
        <w:t xml:space="preserve">pārrēķina, lai – ciktāl iespējams – nodrošinātu laika rindu konsekvenci par </w:t>
      </w:r>
      <w:r>
        <w:rPr>
          <w:bCs/>
          <w:color w:val="000000"/>
        </w:rPr>
        <w:t>katru gadu, kad tiek piemērotas korekcijas</w:t>
      </w:r>
      <w:r w:rsidRPr="009529ED">
        <w:rPr>
          <w:bCs/>
          <w:color w:val="000000"/>
        </w:rPr>
        <w:t>.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/>
        </w:rPr>
      </w:pP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</w:pPr>
      <w:r w:rsidRPr="008540FF">
        <w:rPr>
          <w:bCs/>
        </w:rPr>
        <w:t>3. </w:t>
      </w:r>
      <w:r w:rsidRPr="008540FF">
        <w:t xml:space="preserve"> </w:t>
      </w:r>
      <w:r>
        <w:t>Sākot no 2025. gada g</w:t>
      </w:r>
      <w:r w:rsidRPr="008540FF">
        <w:t>adījumā, ja emisijas faktori vai metodika, kas tiek izmantota, lai noteiktu emisijas</w:t>
      </w:r>
      <w:r>
        <w:t xml:space="preserve"> no konkrētu kategoriju avotiem,</w:t>
      </w:r>
      <w:r w:rsidRPr="008540FF">
        <w:t xml:space="preserve"> būtiski atšķiras no tiem, kādi tika </w:t>
      </w:r>
      <w:r>
        <w:t xml:space="preserve">izmantoti Eiropas </w:t>
      </w:r>
      <w:r w:rsidRPr="008540FF">
        <w:t>Savienības tiesību aktu gaisa piesārņojuma ierobežošanai tā avotā</w:t>
      </w:r>
      <w:r>
        <w:rPr>
          <w:vertAlign w:val="superscript"/>
        </w:rPr>
        <w:t>*</w:t>
      </w:r>
      <w:r>
        <w:t>,</w:t>
      </w:r>
      <w:r w:rsidRPr="008540FF">
        <w:t xml:space="preserve"> konkrētu normu vai standartu īstenošanas rezultātā</w:t>
      </w:r>
      <w:r w:rsidRPr="008C29DF">
        <w:t>,</w:t>
      </w:r>
      <w:r w:rsidRPr="008540FF">
        <w:t xml:space="preserve"> </w:t>
      </w:r>
      <w:r>
        <w:t xml:space="preserve">emisiju korekcijas var veikt, ja tiek ievēroti šādi </w:t>
      </w:r>
      <w:r w:rsidRPr="008540FF">
        <w:t xml:space="preserve"> papildu nosacījumus: </w:t>
      </w:r>
    </w:p>
    <w:p w:rsidR="003B4CA7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</w:pPr>
      <w:r>
        <w:t>- veic izvērtējumu par rīcībām un kontrolēm, kas veiktas, lai ieviestu</w:t>
      </w:r>
      <w:r w:rsidRPr="00804C93">
        <w:t xml:space="preserve"> </w:t>
      </w:r>
      <w:r>
        <w:t xml:space="preserve">Eiropas </w:t>
      </w:r>
      <w:r w:rsidRPr="008540FF">
        <w:t>Savienības tiesību aktu</w:t>
      </w:r>
      <w:r>
        <w:t>s</w:t>
      </w:r>
      <w:r w:rsidRPr="008540FF">
        <w:t xml:space="preserve"> gaisa piesārņojuma ierobežošanai tā avotā</w:t>
      </w:r>
      <w:r>
        <w:t xml:space="preserve"> un </w:t>
      </w:r>
      <w:r w:rsidRPr="008540FF">
        <w:t xml:space="preserve">pierāda, ka būtiski atšķirīgo emisijas faktoru rašanās iemesls nav minēto tiesību aktu īstenošana vai izpilde </w:t>
      </w:r>
      <w:r>
        <w:t>Latvijā;</w:t>
      </w:r>
    </w:p>
    <w:p w:rsidR="003B4CA7" w:rsidRPr="002B0A44" w:rsidRDefault="003B4CA7" w:rsidP="003B4CA7">
      <w:pPr>
        <w:pStyle w:val="ti-grseq-1"/>
        <w:shd w:val="clear" w:color="auto" w:fill="FFFFFF"/>
        <w:spacing w:before="0" w:beforeAutospacing="0" w:after="0" w:afterAutospacing="0"/>
        <w:ind w:firstLine="851"/>
        <w:jc w:val="both"/>
        <w:rPr>
          <w:bCs/>
        </w:rPr>
      </w:pPr>
      <w:r>
        <w:t>- informē Eiropas Komisiju</w:t>
      </w:r>
      <w:r w:rsidRPr="008540FF">
        <w:t xml:space="preserve"> par būtisko atšķirību emisijas f</w:t>
      </w:r>
      <w:r w:rsidR="00595F5A">
        <w:t>aktoros.</w:t>
      </w:r>
    </w:p>
    <w:p w:rsidR="003B4CA7" w:rsidRDefault="003B4CA7" w:rsidP="003B4CA7">
      <w:pPr>
        <w:spacing w:after="0" w:line="240" w:lineRule="auto"/>
        <w:ind w:firstLine="709"/>
        <w:jc w:val="both"/>
      </w:pPr>
    </w:p>
    <w:p w:rsidR="003B4CA7" w:rsidRPr="00165569" w:rsidRDefault="003B4CA7" w:rsidP="003B4CA7">
      <w:pPr>
        <w:tabs>
          <w:tab w:val="left" w:pos="285"/>
          <w:tab w:val="left" w:pos="6580"/>
        </w:tabs>
        <w:spacing w:after="0" w:line="240" w:lineRule="auto"/>
        <w:rPr>
          <w:sz w:val="22"/>
          <w:szCs w:val="22"/>
          <w:lang w:eastAsia="lv-LV"/>
        </w:rPr>
      </w:pPr>
      <w:r w:rsidRPr="00165569">
        <w:rPr>
          <w:sz w:val="22"/>
          <w:szCs w:val="22"/>
          <w:lang w:eastAsia="lv-LV"/>
        </w:rPr>
        <w:t>Piezīme.</w:t>
      </w:r>
    </w:p>
    <w:p w:rsidR="003B4CA7" w:rsidRPr="00165569" w:rsidRDefault="003B4CA7" w:rsidP="003B4CA7">
      <w:pPr>
        <w:tabs>
          <w:tab w:val="left" w:pos="285"/>
          <w:tab w:val="left" w:pos="6580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* Eiropas </w:t>
      </w:r>
      <w:r w:rsidRPr="00165569">
        <w:rPr>
          <w:sz w:val="22"/>
          <w:szCs w:val="22"/>
        </w:rPr>
        <w:t>Savienības tiesību akti, kuru mērķis ir samazināt gaisu piesārņojošo vielu emisijas, veicot mazināšanas pasākumus to avotā</w:t>
      </w:r>
      <w:r w:rsidR="00595F5A">
        <w:rPr>
          <w:sz w:val="22"/>
          <w:szCs w:val="22"/>
        </w:rPr>
        <w:t>.</w:t>
      </w:r>
    </w:p>
    <w:bookmarkEnd w:id="0"/>
    <w:p w:rsidR="005E6689" w:rsidRDefault="005E6689"/>
    <w:sectPr w:rsidR="005E6689" w:rsidSect="003B4CA7">
      <w:headerReference w:type="default" r:id="rId7"/>
      <w:footerReference w:type="default" r:id="rId8"/>
      <w:footerReference w:type="first" r:id="rId9"/>
      <w:type w:val="continuous"/>
      <w:pgSz w:w="11907" w:h="16840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20A" w:rsidRDefault="00F4620A" w:rsidP="00906CE8">
      <w:pPr>
        <w:spacing w:after="0" w:line="240" w:lineRule="auto"/>
      </w:pPr>
      <w:r>
        <w:separator/>
      </w:r>
    </w:p>
  </w:endnote>
  <w:endnote w:type="continuationSeparator" w:id="0">
    <w:p w:rsidR="00F4620A" w:rsidRDefault="00F4620A" w:rsidP="00906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CE9" w:rsidRPr="0033467C" w:rsidRDefault="0033467C" w:rsidP="0033467C">
    <w:pPr>
      <w:spacing w:after="0" w:line="240" w:lineRule="auto"/>
      <w:jc w:val="both"/>
      <w:rPr>
        <w:bCs/>
        <w:sz w:val="20"/>
        <w:szCs w:val="20"/>
      </w:rPr>
    </w:pPr>
    <w:r>
      <w:rPr>
        <w:sz w:val="20"/>
        <w:szCs w:val="20"/>
      </w:rPr>
      <w:t>VARAMnotp4_210318_NEC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CE9" w:rsidRPr="0033467C" w:rsidRDefault="0033467C" w:rsidP="0033467C">
    <w:pPr>
      <w:spacing w:after="0" w:line="240" w:lineRule="auto"/>
      <w:jc w:val="both"/>
      <w:rPr>
        <w:bCs/>
        <w:sz w:val="20"/>
        <w:szCs w:val="20"/>
      </w:rPr>
    </w:pPr>
    <w:r>
      <w:rPr>
        <w:sz w:val="20"/>
        <w:szCs w:val="20"/>
      </w:rPr>
      <w:t>VARAMnotp4_210318_NEC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20A" w:rsidRDefault="00F4620A" w:rsidP="00906CE8">
      <w:pPr>
        <w:spacing w:after="0" w:line="240" w:lineRule="auto"/>
      </w:pPr>
      <w:r>
        <w:separator/>
      </w:r>
    </w:p>
  </w:footnote>
  <w:footnote w:type="continuationSeparator" w:id="0">
    <w:p w:rsidR="00F4620A" w:rsidRDefault="00F4620A" w:rsidP="00906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CE9" w:rsidRDefault="002C1B4A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3AE6">
      <w:rPr>
        <w:noProof/>
      </w:rPr>
      <w:t>2</w:t>
    </w:r>
    <w:r>
      <w:rPr>
        <w:noProof/>
      </w:rPr>
      <w:fldChar w:fldCharType="end"/>
    </w:r>
  </w:p>
  <w:p w:rsidR="00CF6CE9" w:rsidRDefault="00F462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6F0F0B"/>
    <w:multiLevelType w:val="hybridMultilevel"/>
    <w:tmpl w:val="A0D468B2"/>
    <w:lvl w:ilvl="0" w:tplc="4C2A54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31" w:hanging="360"/>
      </w:pPr>
    </w:lvl>
    <w:lvl w:ilvl="2" w:tplc="0426001B" w:tentative="1">
      <w:start w:val="1"/>
      <w:numFmt w:val="lowerRoman"/>
      <w:lvlText w:val="%3."/>
      <w:lvlJc w:val="right"/>
      <w:pPr>
        <w:ind w:left="2651" w:hanging="180"/>
      </w:pPr>
    </w:lvl>
    <w:lvl w:ilvl="3" w:tplc="0426000F" w:tentative="1">
      <w:start w:val="1"/>
      <w:numFmt w:val="decimal"/>
      <w:lvlText w:val="%4."/>
      <w:lvlJc w:val="left"/>
      <w:pPr>
        <w:ind w:left="3371" w:hanging="360"/>
      </w:pPr>
    </w:lvl>
    <w:lvl w:ilvl="4" w:tplc="04260019" w:tentative="1">
      <w:start w:val="1"/>
      <w:numFmt w:val="lowerLetter"/>
      <w:lvlText w:val="%5."/>
      <w:lvlJc w:val="left"/>
      <w:pPr>
        <w:ind w:left="4091" w:hanging="360"/>
      </w:pPr>
    </w:lvl>
    <w:lvl w:ilvl="5" w:tplc="0426001B" w:tentative="1">
      <w:start w:val="1"/>
      <w:numFmt w:val="lowerRoman"/>
      <w:lvlText w:val="%6."/>
      <w:lvlJc w:val="right"/>
      <w:pPr>
        <w:ind w:left="4811" w:hanging="180"/>
      </w:pPr>
    </w:lvl>
    <w:lvl w:ilvl="6" w:tplc="0426000F" w:tentative="1">
      <w:start w:val="1"/>
      <w:numFmt w:val="decimal"/>
      <w:lvlText w:val="%7."/>
      <w:lvlJc w:val="left"/>
      <w:pPr>
        <w:ind w:left="5531" w:hanging="360"/>
      </w:pPr>
    </w:lvl>
    <w:lvl w:ilvl="7" w:tplc="04260019" w:tentative="1">
      <w:start w:val="1"/>
      <w:numFmt w:val="lowerLetter"/>
      <w:lvlText w:val="%8."/>
      <w:lvlJc w:val="left"/>
      <w:pPr>
        <w:ind w:left="6251" w:hanging="360"/>
      </w:pPr>
    </w:lvl>
    <w:lvl w:ilvl="8" w:tplc="0426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trackRevisions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CA7"/>
    <w:rsid w:val="00002B58"/>
    <w:rsid w:val="000E7EF4"/>
    <w:rsid w:val="001F480D"/>
    <w:rsid w:val="00273137"/>
    <w:rsid w:val="002A5698"/>
    <w:rsid w:val="002A60E7"/>
    <w:rsid w:val="002C1B4A"/>
    <w:rsid w:val="0033467C"/>
    <w:rsid w:val="003B4CA7"/>
    <w:rsid w:val="004F4902"/>
    <w:rsid w:val="00547A07"/>
    <w:rsid w:val="00595F5A"/>
    <w:rsid w:val="005E6689"/>
    <w:rsid w:val="00636966"/>
    <w:rsid w:val="00711AD7"/>
    <w:rsid w:val="007F7256"/>
    <w:rsid w:val="0084294E"/>
    <w:rsid w:val="008B6940"/>
    <w:rsid w:val="00906CE8"/>
    <w:rsid w:val="009843DE"/>
    <w:rsid w:val="00BA6C63"/>
    <w:rsid w:val="00BE0AE7"/>
    <w:rsid w:val="00C41133"/>
    <w:rsid w:val="00CE258A"/>
    <w:rsid w:val="00CF6B4D"/>
    <w:rsid w:val="00D50AEA"/>
    <w:rsid w:val="00EE3AE6"/>
    <w:rsid w:val="00F04020"/>
    <w:rsid w:val="00F4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DD9502D-5288-4B96-988A-8E5B6F20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CA7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B4C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CA7"/>
    <w:rPr>
      <w:rFonts w:ascii="Times New Roman" w:eastAsia="Times New Roman" w:hAnsi="Times New Roman" w:cs="Times New Roman"/>
      <w:sz w:val="24"/>
      <w:szCs w:val="24"/>
    </w:rPr>
  </w:style>
  <w:style w:type="paragraph" w:customStyle="1" w:styleId="ti-grseq-1">
    <w:name w:val="ti-grseq-1"/>
    <w:basedOn w:val="Normal"/>
    <w:rsid w:val="003B4CA7"/>
    <w:pPr>
      <w:spacing w:before="100" w:beforeAutospacing="1" w:after="100" w:afterAutospacing="1" w:line="240" w:lineRule="auto"/>
    </w:pPr>
    <w:rPr>
      <w:lang w:eastAsia="lv-LV"/>
    </w:rPr>
  </w:style>
  <w:style w:type="paragraph" w:customStyle="1" w:styleId="Normal1">
    <w:name w:val="Normal1"/>
    <w:basedOn w:val="Normal"/>
    <w:rsid w:val="003B4CA7"/>
    <w:pPr>
      <w:spacing w:before="100" w:beforeAutospacing="1" w:after="100" w:afterAutospacing="1" w:line="240" w:lineRule="auto"/>
    </w:pPr>
    <w:rPr>
      <w:lang w:eastAsia="lv-LV"/>
    </w:rPr>
  </w:style>
  <w:style w:type="character" w:customStyle="1" w:styleId="bold">
    <w:name w:val="bold"/>
    <w:basedOn w:val="DefaultParagraphFont"/>
    <w:rsid w:val="003B4CA7"/>
  </w:style>
  <w:style w:type="paragraph" w:customStyle="1" w:styleId="naislab">
    <w:name w:val="naislab"/>
    <w:basedOn w:val="Normal"/>
    <w:rsid w:val="003B4CA7"/>
    <w:pPr>
      <w:spacing w:before="75" w:after="75" w:line="240" w:lineRule="auto"/>
      <w:jc w:val="right"/>
    </w:pPr>
    <w:rPr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906C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6CE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E0A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0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AE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56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4828</Words>
  <Characters>2753</Characters>
  <Application>Microsoft Office Word</Application>
  <DocSecurity>0</DocSecurity>
  <Lines>22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Noteikumi par valsts kopējo gaisu piesārņojošo vielu emisiju samazināšanu un uzskaiti </vt:lpstr>
    </vt:vector>
  </TitlesOfParts>
  <Company/>
  <LinksUpToDate>false</LinksUpToDate>
  <CharactersWithSpaces>7566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Noteikumi par valsts kopējo gaisu piesārņojošo vielu emisiju samazināšanu un uzskaiti </dc:title>
  <dc:subject>4.pielikums</dc:subject>
  <dc:creator>Lana Maslova</dc:creator>
  <cp:keywords/>
  <dc:description>lana.maslova@varam.gov.lv; 67026586</dc:description>
  <cp:lastModifiedBy>Lana Maslova</cp:lastModifiedBy>
  <cp:revision>15</cp:revision>
  <cp:lastPrinted>2018-04-04T11:26:00Z</cp:lastPrinted>
  <dcterms:created xsi:type="dcterms:W3CDTF">2018-03-21T07:45:00Z</dcterms:created>
  <dcterms:modified xsi:type="dcterms:W3CDTF">2018-04-05T10:49:00Z</dcterms:modified>
</cp:coreProperties>
</file>