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4A5CE" w14:textId="77777777" w:rsidR="00BD52D3" w:rsidRPr="00ED283E" w:rsidRDefault="00BD52D3" w:rsidP="00BD52D3">
      <w:pPr>
        <w:jc w:val="center"/>
        <w:rPr>
          <w:b/>
          <w:bCs/>
          <w:szCs w:val="28"/>
        </w:rPr>
      </w:pPr>
      <w:bookmarkStart w:id="0" w:name="OLE_LINK1"/>
      <w:bookmarkStart w:id="1" w:name="OLE_LINK2"/>
      <w:bookmarkStart w:id="2" w:name="_GoBack"/>
      <w:bookmarkEnd w:id="2"/>
      <w:r w:rsidRPr="00ED283E">
        <w:rPr>
          <w:b/>
          <w:bCs/>
          <w:szCs w:val="28"/>
        </w:rPr>
        <w:t xml:space="preserve">Ministru kabineta rīkojuma </w:t>
      </w:r>
      <w:r w:rsidR="00144086" w:rsidRPr="00ED283E">
        <w:rPr>
          <w:b/>
          <w:bCs/>
          <w:szCs w:val="28"/>
        </w:rPr>
        <w:t>projekta</w:t>
      </w:r>
    </w:p>
    <w:p w14:paraId="2DC9C433" w14:textId="77777777" w:rsidR="00BD52D3" w:rsidRDefault="00BD52D3" w:rsidP="00BD52D3">
      <w:pPr>
        <w:jc w:val="center"/>
        <w:rPr>
          <w:b/>
          <w:bCs/>
          <w:szCs w:val="28"/>
        </w:rPr>
      </w:pPr>
      <w:bookmarkStart w:id="3" w:name="OLE_LINK3"/>
      <w:bookmarkStart w:id="4" w:name="OLE_LINK4"/>
      <w:r w:rsidRPr="00ED283E">
        <w:rPr>
          <w:b/>
          <w:bCs/>
          <w:szCs w:val="28"/>
        </w:rPr>
        <w:t>„</w:t>
      </w:r>
      <w:r w:rsidRPr="00065024">
        <w:rPr>
          <w:b/>
          <w:szCs w:val="28"/>
        </w:rPr>
        <w:t>Par dāvinājum</w:t>
      </w:r>
      <w:r w:rsidR="00144086">
        <w:rPr>
          <w:b/>
          <w:szCs w:val="28"/>
        </w:rPr>
        <w:t xml:space="preserve">a pieņemšanu </w:t>
      </w:r>
      <w:r w:rsidRPr="00ED283E">
        <w:rPr>
          <w:b/>
          <w:bCs/>
          <w:szCs w:val="28"/>
        </w:rPr>
        <w:t>”</w:t>
      </w:r>
    </w:p>
    <w:bookmarkEnd w:id="3"/>
    <w:bookmarkEnd w:id="4"/>
    <w:p w14:paraId="3078B5D0" w14:textId="77777777" w:rsidR="00BD52D3" w:rsidRPr="00ED283E" w:rsidRDefault="00BD52D3" w:rsidP="00BD52D3">
      <w:pPr>
        <w:jc w:val="center"/>
        <w:rPr>
          <w:b/>
          <w:szCs w:val="28"/>
        </w:rPr>
      </w:pPr>
      <w:r w:rsidRPr="00ED283E">
        <w:rPr>
          <w:b/>
          <w:bCs/>
          <w:szCs w:val="28"/>
        </w:rPr>
        <w:t xml:space="preserve"> sākotnējās ietekmes novērtējuma ziņojums (anotācija)</w:t>
      </w:r>
    </w:p>
    <w:bookmarkEnd w:id="0"/>
    <w:bookmarkEnd w:id="1"/>
    <w:p w14:paraId="21E3CBE0" w14:textId="77777777" w:rsidR="00BD52D3" w:rsidRPr="00ED283E" w:rsidRDefault="00BD52D3" w:rsidP="00BD52D3">
      <w:pPr>
        <w:spacing w:before="75" w:after="75"/>
        <w:jc w:val="center"/>
        <w:rPr>
          <w:szCs w:val="28"/>
        </w:rPr>
      </w:pPr>
      <w:r w:rsidRPr="00ED283E">
        <w:rPr>
          <w:szCs w:val="28"/>
        </w:rPr>
        <w:t> </w:t>
      </w:r>
    </w:p>
    <w:tbl>
      <w:tblPr>
        <w:tblW w:w="922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8"/>
        <w:gridCol w:w="2889"/>
        <w:gridCol w:w="5812"/>
      </w:tblGrid>
      <w:tr w:rsidR="00BD52D3" w:rsidRPr="00ED283E" w14:paraId="171290C4" w14:textId="77777777" w:rsidTr="0026194A">
        <w:trPr>
          <w:tblCellSpacing w:w="0" w:type="dxa"/>
        </w:trPr>
        <w:tc>
          <w:tcPr>
            <w:tcW w:w="9229" w:type="dxa"/>
            <w:gridSpan w:val="3"/>
            <w:tcBorders>
              <w:top w:val="outset" w:sz="6" w:space="0" w:color="auto"/>
              <w:left w:val="outset" w:sz="6" w:space="0" w:color="auto"/>
              <w:bottom w:val="outset" w:sz="6" w:space="0" w:color="auto"/>
              <w:right w:val="outset" w:sz="6" w:space="0" w:color="auto"/>
            </w:tcBorders>
            <w:vAlign w:val="center"/>
          </w:tcPr>
          <w:p w14:paraId="3B1105A6" w14:textId="77777777" w:rsidR="00BD52D3" w:rsidRPr="00ED283E" w:rsidRDefault="00BD52D3" w:rsidP="00EF12AF">
            <w:pPr>
              <w:spacing w:before="75" w:after="75"/>
              <w:jc w:val="center"/>
              <w:rPr>
                <w:szCs w:val="28"/>
              </w:rPr>
            </w:pPr>
            <w:r w:rsidRPr="00ED283E">
              <w:rPr>
                <w:b/>
                <w:bCs/>
                <w:szCs w:val="28"/>
              </w:rPr>
              <w:t> I. Tiesību akta projekta izstrādes nepieciešamība</w:t>
            </w:r>
          </w:p>
        </w:tc>
      </w:tr>
      <w:tr w:rsidR="00BD52D3" w:rsidRPr="00ED283E" w14:paraId="4CB2E3A7" w14:textId="77777777" w:rsidTr="008823EC">
        <w:trPr>
          <w:trHeight w:val="630"/>
          <w:tblCellSpacing w:w="0" w:type="dxa"/>
        </w:trPr>
        <w:tc>
          <w:tcPr>
            <w:tcW w:w="528" w:type="dxa"/>
            <w:tcBorders>
              <w:top w:val="outset" w:sz="6" w:space="0" w:color="auto"/>
              <w:left w:val="outset" w:sz="6" w:space="0" w:color="auto"/>
              <w:bottom w:val="outset" w:sz="6" w:space="0" w:color="auto"/>
              <w:right w:val="outset" w:sz="6" w:space="0" w:color="auto"/>
            </w:tcBorders>
          </w:tcPr>
          <w:p w14:paraId="3E48726A" w14:textId="77777777" w:rsidR="00BD52D3" w:rsidRPr="00ED283E" w:rsidRDefault="00BD52D3" w:rsidP="00EF12AF">
            <w:pPr>
              <w:spacing w:before="75" w:after="75"/>
              <w:rPr>
                <w:szCs w:val="28"/>
              </w:rPr>
            </w:pPr>
            <w:r w:rsidRPr="00ED283E">
              <w:rPr>
                <w:szCs w:val="28"/>
              </w:rPr>
              <w:t> 1.</w:t>
            </w:r>
          </w:p>
        </w:tc>
        <w:tc>
          <w:tcPr>
            <w:tcW w:w="2889" w:type="dxa"/>
            <w:tcBorders>
              <w:top w:val="outset" w:sz="6" w:space="0" w:color="auto"/>
              <w:left w:val="outset" w:sz="6" w:space="0" w:color="auto"/>
              <w:bottom w:val="outset" w:sz="6" w:space="0" w:color="auto"/>
              <w:right w:val="outset" w:sz="6" w:space="0" w:color="auto"/>
            </w:tcBorders>
          </w:tcPr>
          <w:p w14:paraId="7C5A23B9" w14:textId="77777777" w:rsidR="00BD52D3" w:rsidRPr="00ED283E" w:rsidRDefault="00BD52D3" w:rsidP="00EF12AF">
            <w:pPr>
              <w:spacing w:before="75" w:after="75"/>
              <w:rPr>
                <w:szCs w:val="28"/>
              </w:rPr>
            </w:pPr>
            <w:r w:rsidRPr="00ED283E">
              <w:rPr>
                <w:szCs w:val="28"/>
              </w:rPr>
              <w:t> Pamatojums</w:t>
            </w:r>
          </w:p>
        </w:tc>
        <w:tc>
          <w:tcPr>
            <w:tcW w:w="5812" w:type="dxa"/>
            <w:tcBorders>
              <w:top w:val="outset" w:sz="6" w:space="0" w:color="auto"/>
              <w:left w:val="outset" w:sz="6" w:space="0" w:color="auto"/>
              <w:bottom w:val="outset" w:sz="6" w:space="0" w:color="auto"/>
              <w:right w:val="outset" w:sz="6" w:space="0" w:color="auto"/>
            </w:tcBorders>
          </w:tcPr>
          <w:p w14:paraId="29195A88" w14:textId="5677A0E0" w:rsidR="008B1078" w:rsidRPr="00ED283E" w:rsidRDefault="00BD52D3" w:rsidP="008B1078">
            <w:pPr>
              <w:spacing w:before="75" w:after="75"/>
              <w:jc w:val="both"/>
              <w:rPr>
                <w:szCs w:val="28"/>
              </w:rPr>
            </w:pPr>
            <w:bookmarkStart w:id="5" w:name="bkm59"/>
            <w:r w:rsidRPr="00744E61">
              <w:rPr>
                <w:szCs w:val="28"/>
              </w:rPr>
              <w:t>Atbilstoši Civillikuma 1912. un 1913.</w:t>
            </w:r>
            <w:r w:rsidR="00322D1D">
              <w:rPr>
                <w:szCs w:val="28"/>
              </w:rPr>
              <w:t> </w:t>
            </w:r>
            <w:r w:rsidRPr="00744E61">
              <w:rPr>
                <w:szCs w:val="28"/>
              </w:rPr>
              <w:t>pantam, kā arī 1915.</w:t>
            </w:r>
            <w:r w:rsidR="00322D1D">
              <w:rPr>
                <w:szCs w:val="28"/>
              </w:rPr>
              <w:t> </w:t>
            </w:r>
            <w:r w:rsidRPr="00744E61">
              <w:rPr>
                <w:szCs w:val="28"/>
              </w:rPr>
              <w:t xml:space="preserve">panta pirmajai daļai valstij kā apdāvināmajam jānosaka iestāde, kura tās vārdā pieņemtu dāvinājumu, lai tas </w:t>
            </w:r>
            <w:bookmarkStart w:id="6" w:name="bkm607"/>
            <w:r w:rsidRPr="00744E61">
              <w:rPr>
                <w:szCs w:val="28"/>
              </w:rPr>
              <w:t>būtu spēkā.</w:t>
            </w:r>
            <w:bookmarkEnd w:id="6"/>
            <w:r w:rsidRPr="00744E61">
              <w:rPr>
                <w:szCs w:val="28"/>
              </w:rPr>
              <w:t xml:space="preserve"> Ievērojot to, ka Latvijas normatīvajos aktos nav tieši regulēta nekustamā īpašuma  pieņemšana dāvinājumā valsts vārdā, un pieņemot, ka valsts iestādes var rīkoties tikai normatīvajos aktos noteikto pilnvaru ietvaros (proti, darīt to, kas tieši ir atļauts), Vides </w:t>
            </w:r>
            <w:r>
              <w:rPr>
                <w:szCs w:val="28"/>
              </w:rPr>
              <w:t xml:space="preserve">aizsardzības un reģionālās attīstības </w:t>
            </w:r>
            <w:r w:rsidRPr="00744E61">
              <w:rPr>
                <w:szCs w:val="28"/>
              </w:rPr>
              <w:t>ministrija</w:t>
            </w:r>
            <w:r w:rsidR="001A0B46">
              <w:rPr>
                <w:szCs w:val="28"/>
              </w:rPr>
              <w:t xml:space="preserve"> </w:t>
            </w:r>
            <w:r w:rsidR="00F4210C">
              <w:rPr>
                <w:szCs w:val="28"/>
              </w:rPr>
              <w:t>(turpmāk</w:t>
            </w:r>
            <w:r w:rsidR="00322D1D">
              <w:rPr>
                <w:szCs w:val="28"/>
              </w:rPr>
              <w:t xml:space="preserve"> – </w:t>
            </w:r>
            <w:r w:rsidR="007A194F">
              <w:rPr>
                <w:szCs w:val="28"/>
              </w:rPr>
              <w:t>Ministrija</w:t>
            </w:r>
            <w:r w:rsidR="00F4210C">
              <w:rPr>
                <w:szCs w:val="28"/>
              </w:rPr>
              <w:t>)</w:t>
            </w:r>
            <w:r w:rsidRPr="00744E61">
              <w:rPr>
                <w:szCs w:val="28"/>
              </w:rPr>
              <w:t xml:space="preserve"> nevar patstāvīgi pieņemt dāvinājumā nekustamo īpašumu</w:t>
            </w:r>
            <w:r w:rsidR="000D2112">
              <w:rPr>
                <w:szCs w:val="28"/>
              </w:rPr>
              <w:t xml:space="preserve"> </w:t>
            </w:r>
            <w:r w:rsidR="00D30841">
              <w:rPr>
                <w:szCs w:val="28"/>
              </w:rPr>
              <w:t xml:space="preserve">“Antonijas pļava” (nekustamā īpašuma kadastra Nr. 0900 013 0126, turpmāk – nekustamais īpašums) </w:t>
            </w:r>
            <w:r w:rsidR="000D2112">
              <w:rPr>
                <w:szCs w:val="28"/>
              </w:rPr>
              <w:t>–</w:t>
            </w:r>
            <w:r w:rsidR="008823EC">
              <w:rPr>
                <w:szCs w:val="28"/>
              </w:rPr>
              <w:t xml:space="preserve"> </w:t>
            </w:r>
            <w:r w:rsidR="008E780A">
              <w:rPr>
                <w:szCs w:val="28"/>
              </w:rPr>
              <w:t xml:space="preserve">neapbūvētu zemesgabalu </w:t>
            </w:r>
            <w:r w:rsidR="008823EC">
              <w:rPr>
                <w:szCs w:val="28"/>
              </w:rPr>
              <w:t>Jelgavā</w:t>
            </w:r>
            <w:r w:rsidRPr="00744E61">
              <w:rPr>
                <w:szCs w:val="28"/>
              </w:rPr>
              <w:t>.</w:t>
            </w:r>
            <w:bookmarkEnd w:id="5"/>
            <w:r w:rsidRPr="00744E61">
              <w:rPr>
                <w:szCs w:val="28"/>
              </w:rPr>
              <w:t xml:space="preserve"> </w:t>
            </w:r>
            <w:r>
              <w:rPr>
                <w:szCs w:val="28"/>
              </w:rPr>
              <w:t xml:space="preserve">Saskaņā ar Latvijas Republikas Satversmes 58.pantu valsts pārvaldes iestādes ir padotas Ministru kabinetam, kurš ir tiesīgs rīkoties valsts vārdā – nolemt pieņemt dāvinājumu un arī pilnvarot </w:t>
            </w:r>
            <w:r w:rsidR="007A194F">
              <w:rPr>
                <w:szCs w:val="28"/>
              </w:rPr>
              <w:t>Ministriju</w:t>
            </w:r>
            <w:r w:rsidR="00F4210C">
              <w:rPr>
                <w:szCs w:val="28"/>
              </w:rPr>
              <w:t xml:space="preserve"> </w:t>
            </w:r>
            <w:r>
              <w:rPr>
                <w:szCs w:val="28"/>
              </w:rPr>
              <w:t>pieņemt dāvinājumu.</w:t>
            </w:r>
          </w:p>
        </w:tc>
      </w:tr>
      <w:tr w:rsidR="00BD52D3" w:rsidRPr="00ED283E" w14:paraId="2031872A" w14:textId="77777777" w:rsidTr="008823EC">
        <w:trPr>
          <w:trHeight w:val="472"/>
          <w:tblCellSpacing w:w="0" w:type="dxa"/>
        </w:trPr>
        <w:tc>
          <w:tcPr>
            <w:tcW w:w="528" w:type="dxa"/>
            <w:tcBorders>
              <w:top w:val="outset" w:sz="6" w:space="0" w:color="auto"/>
              <w:left w:val="outset" w:sz="6" w:space="0" w:color="auto"/>
              <w:bottom w:val="outset" w:sz="6" w:space="0" w:color="auto"/>
              <w:right w:val="outset" w:sz="6" w:space="0" w:color="auto"/>
            </w:tcBorders>
          </w:tcPr>
          <w:p w14:paraId="05D46C1E" w14:textId="77777777" w:rsidR="00BD52D3" w:rsidRPr="00ED283E" w:rsidRDefault="00BD52D3" w:rsidP="00EF12AF">
            <w:pPr>
              <w:spacing w:before="75" w:after="75"/>
              <w:rPr>
                <w:szCs w:val="28"/>
              </w:rPr>
            </w:pPr>
            <w:r w:rsidRPr="00ED283E">
              <w:rPr>
                <w:szCs w:val="28"/>
              </w:rPr>
              <w:t> 2.</w:t>
            </w:r>
          </w:p>
        </w:tc>
        <w:tc>
          <w:tcPr>
            <w:tcW w:w="2889" w:type="dxa"/>
            <w:tcBorders>
              <w:top w:val="outset" w:sz="6" w:space="0" w:color="auto"/>
              <w:left w:val="outset" w:sz="6" w:space="0" w:color="auto"/>
              <w:bottom w:val="outset" w:sz="6" w:space="0" w:color="auto"/>
              <w:right w:val="outset" w:sz="6" w:space="0" w:color="auto"/>
            </w:tcBorders>
          </w:tcPr>
          <w:p w14:paraId="41446456" w14:textId="77777777" w:rsidR="00BD52D3" w:rsidRPr="00ED283E" w:rsidRDefault="00BD52D3" w:rsidP="00EF12AF">
            <w:pPr>
              <w:spacing w:before="75" w:after="75"/>
              <w:rPr>
                <w:szCs w:val="28"/>
              </w:rPr>
            </w:pPr>
            <w:r w:rsidRPr="00ED283E">
              <w:rPr>
                <w:szCs w:val="28"/>
              </w:rPr>
              <w:t> </w:t>
            </w:r>
            <w:r w:rsidR="008823EC" w:rsidRPr="003F2F7B">
              <w:rPr>
                <w:rFonts w:eastAsia="Calibri"/>
                <w:szCs w:val="28"/>
              </w:rPr>
              <w:t>Pašreizējā situācija un problēmas, kuru risināšanai tiesību akta projekts izstrādāts, tiesiskā regulējuma mērķis un būtība</w:t>
            </w:r>
          </w:p>
        </w:tc>
        <w:tc>
          <w:tcPr>
            <w:tcW w:w="5812" w:type="dxa"/>
            <w:tcBorders>
              <w:top w:val="outset" w:sz="6" w:space="0" w:color="auto"/>
              <w:left w:val="outset" w:sz="6" w:space="0" w:color="auto"/>
              <w:bottom w:val="outset" w:sz="6" w:space="0" w:color="auto"/>
              <w:right w:val="outset" w:sz="6" w:space="0" w:color="auto"/>
            </w:tcBorders>
          </w:tcPr>
          <w:p w14:paraId="77C9FBE0" w14:textId="28D1E920" w:rsidR="00D94075" w:rsidRDefault="0077764F" w:rsidP="00D94075">
            <w:pPr>
              <w:spacing w:before="75" w:after="75"/>
              <w:jc w:val="both"/>
              <w:rPr>
                <w:szCs w:val="28"/>
              </w:rPr>
            </w:pPr>
            <w:r>
              <w:rPr>
                <w:szCs w:val="28"/>
              </w:rPr>
              <w:t xml:space="preserve"> </w:t>
            </w:r>
            <w:r w:rsidR="007A194F">
              <w:rPr>
                <w:szCs w:val="28"/>
              </w:rPr>
              <w:t xml:space="preserve">Ministrijā </w:t>
            </w:r>
            <w:r w:rsidR="00480370">
              <w:rPr>
                <w:szCs w:val="28"/>
              </w:rPr>
              <w:t xml:space="preserve">saņemts </w:t>
            </w:r>
            <w:r w:rsidR="00D94075">
              <w:rPr>
                <w:szCs w:val="28"/>
              </w:rPr>
              <w:t xml:space="preserve">Ministrijas padotības iestādei - </w:t>
            </w:r>
            <w:r w:rsidR="001A0B46">
              <w:rPr>
                <w:szCs w:val="28"/>
              </w:rPr>
              <w:t>Dabas aizsardzības pārvaldei (turpmāk</w:t>
            </w:r>
            <w:r w:rsidR="00005FD5">
              <w:rPr>
                <w:szCs w:val="28"/>
              </w:rPr>
              <w:t xml:space="preserve"> –</w:t>
            </w:r>
            <w:r w:rsidR="001A0B46">
              <w:rPr>
                <w:szCs w:val="28"/>
              </w:rPr>
              <w:t xml:space="preserve"> Pārvalde) </w:t>
            </w:r>
            <w:r w:rsidR="00480370">
              <w:rPr>
                <w:szCs w:val="28"/>
              </w:rPr>
              <w:t xml:space="preserve">adresēts </w:t>
            </w:r>
            <w:r w:rsidR="00D94075">
              <w:rPr>
                <w:szCs w:val="28"/>
              </w:rPr>
              <w:t xml:space="preserve">privātpersonas </w:t>
            </w:r>
            <w:r w:rsidR="001A0B46">
              <w:rPr>
                <w:szCs w:val="28"/>
              </w:rPr>
              <w:t xml:space="preserve">Intas Grantas </w:t>
            </w:r>
            <w:r w:rsidR="00D94075">
              <w:rPr>
                <w:szCs w:val="28"/>
              </w:rPr>
              <w:t>2016.gada 8.novembra iesniegums</w:t>
            </w:r>
            <w:r w:rsidR="001A0B46">
              <w:rPr>
                <w:szCs w:val="28"/>
              </w:rPr>
              <w:t xml:space="preserve"> </w:t>
            </w:r>
            <w:r w:rsidR="00D94075">
              <w:rPr>
                <w:szCs w:val="28"/>
              </w:rPr>
              <w:t>p</w:t>
            </w:r>
            <w:r w:rsidR="001A0B46">
              <w:rPr>
                <w:szCs w:val="28"/>
              </w:rPr>
              <w:t xml:space="preserve">ar </w:t>
            </w:r>
            <w:r w:rsidR="00D94075">
              <w:rPr>
                <w:szCs w:val="28"/>
              </w:rPr>
              <w:t>privātpersonai</w:t>
            </w:r>
            <w:r w:rsidR="001A0B46">
              <w:rPr>
                <w:szCs w:val="28"/>
              </w:rPr>
              <w:t xml:space="preserve"> </w:t>
            </w:r>
            <w:r w:rsidR="00D94075">
              <w:rPr>
                <w:szCs w:val="28"/>
              </w:rPr>
              <w:t>piederoša nekustamā īpašuma pārņemšanu (dāvinājums) valsts īpašum</w:t>
            </w:r>
            <w:r w:rsidR="00005FD5">
              <w:rPr>
                <w:szCs w:val="28"/>
              </w:rPr>
              <w:t>ā</w:t>
            </w:r>
            <w:r w:rsidR="001A0B46">
              <w:rPr>
                <w:szCs w:val="28"/>
              </w:rPr>
              <w:t xml:space="preserve">. </w:t>
            </w:r>
          </w:p>
          <w:p w14:paraId="1AD0A8E7" w14:textId="77777777" w:rsidR="00141E01" w:rsidRDefault="00D94075" w:rsidP="00D94075">
            <w:pPr>
              <w:spacing w:before="75" w:after="75"/>
              <w:jc w:val="both"/>
              <w:rPr>
                <w:szCs w:val="28"/>
              </w:rPr>
            </w:pPr>
            <w:r>
              <w:rPr>
                <w:szCs w:val="28"/>
              </w:rPr>
              <w:t xml:space="preserve">Atbilstoši Nekustamā īpašuma valsts kadastra informācijas sistēmas </w:t>
            </w:r>
            <w:r w:rsidR="00141E01">
              <w:rPr>
                <w:szCs w:val="28"/>
              </w:rPr>
              <w:t xml:space="preserve">un </w:t>
            </w:r>
            <w:r w:rsidR="00026144">
              <w:rPr>
                <w:szCs w:val="28"/>
              </w:rPr>
              <w:t>Valsts v</w:t>
            </w:r>
            <w:r w:rsidR="00141E01">
              <w:rPr>
                <w:szCs w:val="28"/>
              </w:rPr>
              <w:t xml:space="preserve">ienotās datorizētās Zemesgrāmatas </w:t>
            </w:r>
            <w:r>
              <w:rPr>
                <w:szCs w:val="28"/>
              </w:rPr>
              <w:t>datiem</w:t>
            </w:r>
            <w:r w:rsidR="00141E01">
              <w:rPr>
                <w:szCs w:val="28"/>
              </w:rPr>
              <w:t>:</w:t>
            </w:r>
          </w:p>
          <w:p w14:paraId="51EC6861" w14:textId="77777777" w:rsidR="00141E01" w:rsidRDefault="00D94075" w:rsidP="00AB6742">
            <w:pPr>
              <w:pStyle w:val="ListParagraph"/>
              <w:numPr>
                <w:ilvl w:val="0"/>
                <w:numId w:val="1"/>
              </w:numPr>
              <w:spacing w:before="75" w:after="75"/>
              <w:jc w:val="both"/>
              <w:rPr>
                <w:szCs w:val="28"/>
              </w:rPr>
            </w:pPr>
            <w:r w:rsidRPr="00EB4A51">
              <w:rPr>
                <w:szCs w:val="28"/>
              </w:rPr>
              <w:t>nekustamais īpašums  sastāv no vienas neapbūvētas zemes vienības (zemes vienības kadastra apzīmējums 0900 013 0126, turpmāk – zemesgabals) 9984 m</w:t>
            </w:r>
            <w:r w:rsidRPr="00EB4A51">
              <w:rPr>
                <w:szCs w:val="28"/>
                <w:vertAlign w:val="superscript"/>
              </w:rPr>
              <w:t xml:space="preserve">2 </w:t>
            </w:r>
            <w:r w:rsidRPr="00EB4A51">
              <w:rPr>
                <w:szCs w:val="28"/>
              </w:rPr>
              <w:t>platībā</w:t>
            </w:r>
            <w:r w:rsidR="00141E01">
              <w:rPr>
                <w:szCs w:val="28"/>
              </w:rPr>
              <w:t>;</w:t>
            </w:r>
          </w:p>
          <w:p w14:paraId="756D2F7F" w14:textId="77777777" w:rsidR="00B32BFC" w:rsidRDefault="00141E01" w:rsidP="00AB6742">
            <w:pPr>
              <w:pStyle w:val="ListParagraph"/>
              <w:numPr>
                <w:ilvl w:val="0"/>
                <w:numId w:val="1"/>
              </w:numPr>
              <w:spacing w:before="75" w:after="75"/>
              <w:jc w:val="both"/>
              <w:rPr>
                <w:szCs w:val="28"/>
              </w:rPr>
            </w:pPr>
            <w:r>
              <w:rPr>
                <w:szCs w:val="28"/>
              </w:rPr>
              <w:t>z</w:t>
            </w:r>
            <w:r w:rsidR="00D94075" w:rsidRPr="00EB4A51">
              <w:rPr>
                <w:szCs w:val="28"/>
              </w:rPr>
              <w:t>emesgabala zemes lietošanas veids – pārējās zemes (faktiski dabā – mitra pļava)</w:t>
            </w:r>
            <w:r w:rsidR="00B32BFC">
              <w:rPr>
                <w:szCs w:val="28"/>
              </w:rPr>
              <w:t>;</w:t>
            </w:r>
          </w:p>
          <w:p w14:paraId="78C4084E" w14:textId="30B9AB70" w:rsidR="000679C4" w:rsidRDefault="00AB0004" w:rsidP="00AB6742">
            <w:pPr>
              <w:pStyle w:val="ListParagraph"/>
              <w:numPr>
                <w:ilvl w:val="0"/>
                <w:numId w:val="1"/>
              </w:numPr>
              <w:spacing w:before="75" w:after="75"/>
              <w:jc w:val="both"/>
              <w:rPr>
                <w:szCs w:val="28"/>
              </w:rPr>
            </w:pPr>
            <w:r>
              <w:rPr>
                <w:szCs w:val="28"/>
              </w:rPr>
              <w:t>nekustamā īpašuma</w:t>
            </w:r>
            <w:r w:rsidR="00D94075" w:rsidRPr="00EB4A51">
              <w:rPr>
                <w:szCs w:val="28"/>
              </w:rPr>
              <w:t xml:space="preserve"> lietošanas mērķis –</w:t>
            </w:r>
            <w:r>
              <w:rPr>
                <w:szCs w:val="28"/>
              </w:rPr>
              <w:t xml:space="preserve"> dabas pamatnes, parki, zaļās zonas un citas </w:t>
            </w:r>
            <w:r>
              <w:rPr>
                <w:szCs w:val="28"/>
              </w:rPr>
              <w:lastRenderedPageBreak/>
              <w:t>rekreācijas nozīmes objektu teritorijas, ja tajās atļautā saimnieciskā darbība nav pieskaitāma pie kāda cita klasifikācijā norādītā lietošanas mērķa</w:t>
            </w:r>
            <w:r w:rsidR="00CC6CA6" w:rsidRPr="00AB6742">
              <w:rPr>
                <w:szCs w:val="28"/>
              </w:rPr>
              <w:t>;</w:t>
            </w:r>
          </w:p>
          <w:p w14:paraId="137F8B34" w14:textId="77777777" w:rsidR="00075D3C" w:rsidRPr="00AB6742" w:rsidRDefault="00D94075" w:rsidP="00AB6742">
            <w:pPr>
              <w:pStyle w:val="ListParagraph"/>
              <w:numPr>
                <w:ilvl w:val="0"/>
                <w:numId w:val="1"/>
              </w:numPr>
              <w:spacing w:before="75" w:after="75"/>
              <w:jc w:val="both"/>
              <w:rPr>
                <w:szCs w:val="28"/>
              </w:rPr>
            </w:pPr>
            <w:r w:rsidRPr="00EB4A51">
              <w:rPr>
                <w:szCs w:val="28"/>
              </w:rPr>
              <w:t xml:space="preserve">kadastrālā vērtība uz 2017.gada 1.janvāri </w:t>
            </w:r>
            <w:r w:rsidRPr="00EB4A51">
              <w:rPr>
                <w:rFonts w:eastAsia="Calibri"/>
                <w:szCs w:val="28"/>
                <w:lang w:eastAsia="en-US"/>
              </w:rPr>
              <w:t xml:space="preserve">4293 </w:t>
            </w:r>
            <w:proofErr w:type="spellStart"/>
            <w:r w:rsidRPr="00EB4A51">
              <w:rPr>
                <w:rFonts w:eastAsia="Calibri"/>
                <w:i/>
                <w:szCs w:val="28"/>
                <w:lang w:eastAsia="en-US"/>
              </w:rPr>
              <w:t>euro</w:t>
            </w:r>
            <w:proofErr w:type="spellEnd"/>
            <w:r w:rsidR="00075D3C">
              <w:rPr>
                <w:rFonts w:eastAsia="Calibri"/>
                <w:szCs w:val="28"/>
                <w:lang w:eastAsia="en-US"/>
              </w:rPr>
              <w:t>;</w:t>
            </w:r>
          </w:p>
          <w:p w14:paraId="1F0C0EE7" w14:textId="6DD2681A" w:rsidR="00075D3C" w:rsidRPr="00AB6742" w:rsidRDefault="00075D3C" w:rsidP="00AB6742">
            <w:pPr>
              <w:pStyle w:val="ListParagraph"/>
              <w:numPr>
                <w:ilvl w:val="0"/>
                <w:numId w:val="1"/>
              </w:numPr>
              <w:spacing w:before="75" w:after="75"/>
              <w:jc w:val="both"/>
              <w:rPr>
                <w:szCs w:val="28"/>
              </w:rPr>
            </w:pPr>
            <w:r>
              <w:rPr>
                <w:rFonts w:eastAsia="Calibri"/>
                <w:szCs w:val="28"/>
                <w:lang w:eastAsia="en-US"/>
              </w:rPr>
              <w:t>z</w:t>
            </w:r>
            <w:r w:rsidR="00D94075" w:rsidRPr="00EB4A51">
              <w:rPr>
                <w:rFonts w:eastAsia="Calibri"/>
                <w:szCs w:val="28"/>
                <w:lang w:eastAsia="en-US"/>
              </w:rPr>
              <w:t>emesgabalam 20</w:t>
            </w:r>
            <w:r w:rsidR="002B6B82">
              <w:rPr>
                <w:rFonts w:eastAsia="Calibri"/>
                <w:szCs w:val="28"/>
                <w:lang w:eastAsia="en-US"/>
              </w:rPr>
              <w:t>03</w:t>
            </w:r>
            <w:r w:rsidR="00D94075" w:rsidRPr="00EB4A51">
              <w:rPr>
                <w:rFonts w:eastAsia="Calibri"/>
                <w:szCs w:val="28"/>
                <w:lang w:eastAsia="en-US"/>
              </w:rPr>
              <w:t xml:space="preserve">.gada </w:t>
            </w:r>
            <w:r w:rsidR="002B6B82">
              <w:rPr>
                <w:rFonts w:eastAsia="Calibri"/>
                <w:szCs w:val="28"/>
                <w:lang w:eastAsia="en-US"/>
              </w:rPr>
              <w:t>27.jūnijā</w:t>
            </w:r>
            <w:r w:rsidR="00D94075" w:rsidRPr="00AB6742">
              <w:rPr>
                <w:rFonts w:eastAsia="Calibri"/>
                <w:szCs w:val="28"/>
                <w:lang w:eastAsia="en-US"/>
              </w:rPr>
              <w:t xml:space="preserve"> veikta </w:t>
            </w:r>
            <w:r w:rsidR="002B6B82">
              <w:rPr>
                <w:rFonts w:eastAsia="Calibri"/>
                <w:szCs w:val="28"/>
                <w:lang w:eastAsia="en-US"/>
              </w:rPr>
              <w:t xml:space="preserve">instrumentālā </w:t>
            </w:r>
            <w:r w:rsidR="00D94075" w:rsidRPr="00AB6742">
              <w:rPr>
                <w:rFonts w:eastAsia="Calibri"/>
                <w:szCs w:val="28"/>
                <w:lang w:eastAsia="en-US"/>
              </w:rPr>
              <w:t>uzmērīšana</w:t>
            </w:r>
            <w:r w:rsidR="006C7036" w:rsidRPr="00AB6742">
              <w:rPr>
                <w:rFonts w:eastAsia="Calibri"/>
                <w:szCs w:val="28"/>
                <w:lang w:eastAsia="en-US"/>
              </w:rPr>
              <w:t xml:space="preserve">, </w:t>
            </w:r>
            <w:r w:rsidR="002B6B82">
              <w:rPr>
                <w:rFonts w:eastAsia="Calibri"/>
                <w:szCs w:val="28"/>
                <w:lang w:eastAsia="en-US"/>
              </w:rPr>
              <w:t xml:space="preserve">reģistrēts apgrūtinājums – ūdensteces aizsargjoslas teritorija </w:t>
            </w:r>
            <w:r w:rsidR="002B6B82" w:rsidRPr="00AB6742">
              <w:rPr>
                <w:rFonts w:eastAsia="Calibri"/>
                <w:szCs w:val="28"/>
                <w:lang w:eastAsia="en-US"/>
              </w:rPr>
              <w:t>0,808 ha platībā</w:t>
            </w:r>
            <w:r w:rsidRPr="00AB6742">
              <w:rPr>
                <w:rFonts w:eastAsia="Calibri"/>
                <w:szCs w:val="28"/>
                <w:lang w:eastAsia="en-US"/>
              </w:rPr>
              <w:t>;</w:t>
            </w:r>
          </w:p>
          <w:p w14:paraId="2CA4728F" w14:textId="1B090DA4" w:rsidR="00D94075" w:rsidRPr="00AB6742" w:rsidRDefault="00075D3C" w:rsidP="00AB6742">
            <w:pPr>
              <w:pStyle w:val="ListParagraph"/>
              <w:numPr>
                <w:ilvl w:val="0"/>
                <w:numId w:val="1"/>
              </w:numPr>
              <w:spacing w:before="75" w:after="75"/>
              <w:jc w:val="both"/>
              <w:rPr>
                <w:szCs w:val="28"/>
              </w:rPr>
            </w:pPr>
            <w:r>
              <w:rPr>
                <w:rFonts w:eastAsia="Calibri"/>
                <w:szCs w:val="28"/>
                <w:lang w:eastAsia="en-US"/>
              </w:rPr>
              <w:t>n</w:t>
            </w:r>
            <w:r w:rsidR="00F366F1" w:rsidRPr="00EB4A51">
              <w:rPr>
                <w:rFonts w:eastAsia="Calibri"/>
                <w:szCs w:val="28"/>
                <w:lang w:eastAsia="en-US"/>
              </w:rPr>
              <w:t>ekustamais īpašums reģistrēts zemesgrāmatā (Jelgavas</w:t>
            </w:r>
            <w:r w:rsidR="006C7036" w:rsidRPr="00AB6742">
              <w:rPr>
                <w:rFonts w:eastAsia="Calibri"/>
                <w:szCs w:val="28"/>
                <w:lang w:eastAsia="en-US"/>
              </w:rPr>
              <w:t xml:space="preserve"> pilsētas zemesgrāmatas nodalījums Nr.100000121336).</w:t>
            </w:r>
          </w:p>
          <w:p w14:paraId="3BCBAC18" w14:textId="77777777" w:rsidR="0003294B" w:rsidRDefault="00D94075" w:rsidP="00D94075">
            <w:pPr>
              <w:spacing w:before="75" w:after="75"/>
              <w:jc w:val="both"/>
              <w:rPr>
                <w:szCs w:val="28"/>
              </w:rPr>
            </w:pPr>
            <w:r w:rsidRPr="008B1078">
              <w:rPr>
                <w:szCs w:val="28"/>
              </w:rPr>
              <w:t>Atbilstoši Ministru kabineta 1999.gada 15.jūnija noteikumu Nr.212 „Noteikumi par dabas liegumiem” 1.70.apakšpunktam un 85.pielikumam un Ministru kabineta 2008.gada 13.maija noteikumu Nr.326 „Dabas lieguma “Lielupes palienes pļavas” individuālie aizsardzības un izmantošanas noteikumi” 4.punktam un 1.</w:t>
            </w:r>
            <w:r w:rsidR="00FF4105">
              <w:rPr>
                <w:szCs w:val="28"/>
              </w:rPr>
              <w:t> </w:t>
            </w:r>
            <w:r w:rsidRPr="008B1078">
              <w:rPr>
                <w:szCs w:val="28"/>
              </w:rPr>
              <w:t xml:space="preserve">pielikumam </w:t>
            </w:r>
            <w:r w:rsidRPr="002A2629">
              <w:rPr>
                <w:szCs w:val="28"/>
                <w:u w:val="single"/>
              </w:rPr>
              <w:t>zemesgabals atrodas dabas lieguma „Lielupes palienes pļavas” dabas lieguma zonā</w:t>
            </w:r>
            <w:r w:rsidRPr="008B1078">
              <w:rPr>
                <w:szCs w:val="28"/>
              </w:rPr>
              <w:t>.</w:t>
            </w:r>
          </w:p>
          <w:p w14:paraId="0F95EDE3" w14:textId="17E93603" w:rsidR="008855C1" w:rsidRDefault="00D94075" w:rsidP="008855C1">
            <w:pPr>
              <w:spacing w:before="75" w:after="75"/>
              <w:jc w:val="both"/>
              <w:rPr>
                <w:szCs w:val="28"/>
              </w:rPr>
            </w:pPr>
            <w:r w:rsidRPr="008B1078">
              <w:rPr>
                <w:szCs w:val="28"/>
              </w:rPr>
              <w:t xml:space="preserve">Saskaņā ar likuma „Par īpaši aizsargājamām dabas teritorijām” pielikuma 192.punktu dabas liegums „Lielupes palienes pļavas” ir iekļauts Latvijas </w:t>
            </w:r>
            <w:proofErr w:type="spellStart"/>
            <w:r w:rsidRPr="008B1078">
              <w:rPr>
                <w:szCs w:val="28"/>
              </w:rPr>
              <w:t>Natura</w:t>
            </w:r>
            <w:proofErr w:type="spellEnd"/>
            <w:r w:rsidRPr="008B1078">
              <w:rPr>
                <w:szCs w:val="28"/>
              </w:rPr>
              <w:t xml:space="preserve"> 2000 — Eiropas nozīmes aizsargājamo dabas teritoriju sarakstā. Dabas liegumam ir izstrādāts un ar </w:t>
            </w:r>
            <w:r>
              <w:rPr>
                <w:szCs w:val="28"/>
              </w:rPr>
              <w:t>v</w:t>
            </w:r>
            <w:r w:rsidRPr="008B1078">
              <w:rPr>
                <w:szCs w:val="28"/>
              </w:rPr>
              <w:t>ides ministra 2007.gada 6.februāra rīkojumu Nr. 72 „Par dabas aizsardzības plānu apstiprināšanu vai grozīšanu” apstiprināts dabas aizsardzības plāns. Atbilstoši dabas aizsardzības plānam</w:t>
            </w:r>
            <w:r>
              <w:rPr>
                <w:szCs w:val="28"/>
              </w:rPr>
              <w:t xml:space="preserve"> un dabas datu pārvaldības sistēmai OZOLS</w:t>
            </w:r>
            <w:r w:rsidRPr="008B1078">
              <w:rPr>
                <w:szCs w:val="28"/>
              </w:rPr>
              <w:t xml:space="preserve"> </w:t>
            </w:r>
            <w:r>
              <w:rPr>
                <w:szCs w:val="28"/>
              </w:rPr>
              <w:t>zemesgabalā</w:t>
            </w:r>
            <w:r w:rsidRPr="008B1078">
              <w:rPr>
                <w:szCs w:val="28"/>
              </w:rPr>
              <w:t xml:space="preserve"> ir </w:t>
            </w:r>
            <w:r>
              <w:rPr>
                <w:szCs w:val="28"/>
              </w:rPr>
              <w:t>konstatēti</w:t>
            </w:r>
            <w:r w:rsidRPr="008B1078">
              <w:rPr>
                <w:szCs w:val="28"/>
              </w:rPr>
              <w:t xml:space="preserve"> īpaši aizsargājami zālāju biotopi </w:t>
            </w:r>
            <w:r>
              <w:rPr>
                <w:szCs w:val="28"/>
              </w:rPr>
              <w:t>(</w:t>
            </w:r>
            <w:r w:rsidR="002A2629">
              <w:rPr>
                <w:szCs w:val="28"/>
              </w:rPr>
              <w:t xml:space="preserve">6450 </w:t>
            </w:r>
            <w:r>
              <w:rPr>
                <w:szCs w:val="28"/>
              </w:rPr>
              <w:t xml:space="preserve">palieņu zālāji un </w:t>
            </w:r>
            <w:r w:rsidR="002A2629">
              <w:rPr>
                <w:szCs w:val="28"/>
              </w:rPr>
              <w:t xml:space="preserve">6510 </w:t>
            </w:r>
            <w:r>
              <w:rPr>
                <w:szCs w:val="28"/>
              </w:rPr>
              <w:t>mēreni mitras pļavas)</w:t>
            </w:r>
            <w:r w:rsidR="00852501">
              <w:rPr>
                <w:szCs w:val="28"/>
              </w:rPr>
              <w:t xml:space="preserve">, </w:t>
            </w:r>
            <w:r w:rsidR="00A200FF">
              <w:rPr>
                <w:szCs w:val="28"/>
              </w:rPr>
              <w:t xml:space="preserve">kas </w:t>
            </w:r>
            <w:r w:rsidR="00852501">
              <w:rPr>
                <w:szCs w:val="28"/>
              </w:rPr>
              <w:t xml:space="preserve">vienlaikus noteikti kā </w:t>
            </w:r>
            <w:r w:rsidR="00CE12F6">
              <w:rPr>
                <w:szCs w:val="28"/>
              </w:rPr>
              <w:t>b</w:t>
            </w:r>
            <w:r w:rsidR="00852501">
              <w:rPr>
                <w:szCs w:val="28"/>
              </w:rPr>
              <w:t>ioloģiski vērtīgi zālāji</w:t>
            </w:r>
            <w:r w:rsidRPr="008B1078">
              <w:rPr>
                <w:szCs w:val="28"/>
              </w:rPr>
              <w:t>. Lai nodrošinātu šo teritoriju optimālu aizsardzību, dabas aizsardzības plāns paredz regulāru apsaim</w:t>
            </w:r>
            <w:r>
              <w:rPr>
                <w:szCs w:val="28"/>
              </w:rPr>
              <w:t>niekošanu, noganot vai pļaujot.</w:t>
            </w:r>
          </w:p>
          <w:p w14:paraId="05D3D6CA" w14:textId="4245B73D" w:rsidR="008855C1" w:rsidRDefault="008855C1" w:rsidP="008855C1">
            <w:pPr>
              <w:spacing w:before="75" w:after="75"/>
              <w:jc w:val="both"/>
            </w:pPr>
            <w:r>
              <w:t>Zemesgabals</w:t>
            </w:r>
            <w:r w:rsidRPr="00562827">
              <w:t xml:space="preserve"> atrodas tieši blakus </w:t>
            </w:r>
            <w:r>
              <w:t xml:space="preserve">jau šobrīd Ministrijas </w:t>
            </w:r>
            <w:r w:rsidR="002A2629">
              <w:t>valdījumā</w:t>
            </w:r>
            <w:r>
              <w:t xml:space="preserve"> esošam nekustamajam </w:t>
            </w:r>
            <w:r w:rsidRPr="00562827">
              <w:t xml:space="preserve">īpašumam </w:t>
            </w:r>
            <w:r>
              <w:t>“</w:t>
            </w:r>
            <w:proofErr w:type="spellStart"/>
            <w:r>
              <w:t>Kuģenieki</w:t>
            </w:r>
            <w:proofErr w:type="spellEnd"/>
            <w:r w:rsidR="00741E89">
              <w:t>, pļava</w:t>
            </w:r>
            <w:r>
              <w:t>” – zemes vienība</w:t>
            </w:r>
            <w:r w:rsidR="00741E89">
              <w:t xml:space="preserve">i ar </w:t>
            </w:r>
            <w:r>
              <w:t xml:space="preserve"> kadastra </w:t>
            </w:r>
            <w:r w:rsidR="00741E89">
              <w:t>apzīmējumu</w:t>
            </w:r>
            <w:r>
              <w:t xml:space="preserve"> 09000130128 un kas </w:t>
            </w:r>
            <w:r w:rsidRPr="00562827">
              <w:t xml:space="preserve">ietilpst tajā pašā </w:t>
            </w:r>
            <w:r>
              <w:t>bioloģiski vērtīgo zālāju blokā.</w:t>
            </w:r>
          </w:p>
          <w:p w14:paraId="7CA8CA91" w14:textId="14036FE9" w:rsidR="00D94075" w:rsidRPr="008B1078" w:rsidRDefault="00D94075" w:rsidP="00D94075">
            <w:pPr>
              <w:spacing w:before="75" w:after="75"/>
              <w:jc w:val="both"/>
              <w:rPr>
                <w:szCs w:val="28"/>
              </w:rPr>
            </w:pPr>
            <w:r w:rsidRPr="008B1078">
              <w:rPr>
                <w:szCs w:val="28"/>
              </w:rPr>
              <w:lastRenderedPageBreak/>
              <w:t xml:space="preserve">Saskaņā ar Eiropas Padomes direktīvu 92/43 EEK (1992.gada 21.maijs) par dabisko dzīvotņu, savvaļas faunas un floras aizsardzību (turpmāk – Biotopu direktīvu) valstij ir pienākums nodrošināt īpaši aizsargājamo biotopu labvēlīgu aizsardzības statusu. Arī atbilstoši Sugu un biotopu aizsardzības likuma 5.panta 3.punktam </w:t>
            </w:r>
            <w:r>
              <w:rPr>
                <w:szCs w:val="28"/>
              </w:rPr>
              <w:t>Ministrija</w:t>
            </w:r>
            <w:r w:rsidRPr="008B1078">
              <w:rPr>
                <w:szCs w:val="28"/>
              </w:rPr>
              <w:t xml:space="preserve"> un tās padotībā esošās iestādes veic pasākumus īpaši aizsargājamo biotopu labvēlīga aizsardzības statusa nodrošināšanai.</w:t>
            </w:r>
          </w:p>
          <w:p w14:paraId="7270081F" w14:textId="77777777" w:rsidR="00D94075" w:rsidRPr="008B1078" w:rsidRDefault="00D94075" w:rsidP="00D94075">
            <w:pPr>
              <w:spacing w:before="75" w:after="75"/>
              <w:jc w:val="both"/>
              <w:rPr>
                <w:szCs w:val="28"/>
              </w:rPr>
            </w:pPr>
            <w:r w:rsidRPr="008B1078">
              <w:rPr>
                <w:szCs w:val="28"/>
              </w:rPr>
              <w:t xml:space="preserve">Būtiski, ka atbilstoši Biotopu direktīvas 17.panta Latvijas ziņojumam par </w:t>
            </w:r>
            <w:r w:rsidRPr="00085E79">
              <w:rPr>
                <w:szCs w:val="28"/>
              </w:rPr>
              <w:t>2007.-2012.gadu</w:t>
            </w:r>
            <w:r w:rsidRPr="008B1078">
              <w:rPr>
                <w:szCs w:val="28"/>
              </w:rPr>
              <w:t xml:space="preserve"> visapdraudētākie Latvijā ir zālāju biotopi. Zālāju aizsardzības stāvoklis novērtēts kā nelabvēlīgs arī ziņojumā par iepriekšējo periodu un pētījumi apliecina, ka pasliktināšanās turpinās.</w:t>
            </w:r>
          </w:p>
          <w:p w14:paraId="4EF47962" w14:textId="77777777" w:rsidR="00D94075" w:rsidRPr="008B1078" w:rsidRDefault="00D94075" w:rsidP="00D94075">
            <w:pPr>
              <w:spacing w:before="75" w:after="75"/>
              <w:jc w:val="both"/>
              <w:rPr>
                <w:szCs w:val="28"/>
              </w:rPr>
            </w:pPr>
            <w:r>
              <w:rPr>
                <w:szCs w:val="28"/>
              </w:rPr>
              <w:t>Zemesgabals</w:t>
            </w:r>
            <w:r w:rsidRPr="008B1078">
              <w:rPr>
                <w:szCs w:val="28"/>
              </w:rPr>
              <w:t xml:space="preserve"> nepieciešam</w:t>
            </w:r>
            <w:r>
              <w:rPr>
                <w:szCs w:val="28"/>
              </w:rPr>
              <w:t xml:space="preserve">s Ministrijas </w:t>
            </w:r>
            <w:r w:rsidRPr="008B1078">
              <w:rPr>
                <w:szCs w:val="28"/>
              </w:rPr>
              <w:t xml:space="preserve">funkciju veikšanai saskaņā ar Ministru kabineta 2011.gada 29.marta noteikumu Nr.233 „Vides aizsardzības un reģionālās attīstības ministrijas nolikums” 4.1. un 4.3.apakšpunktu, kuri nosaka, ka </w:t>
            </w:r>
            <w:r>
              <w:rPr>
                <w:szCs w:val="28"/>
              </w:rPr>
              <w:t>ministrijas</w:t>
            </w:r>
            <w:r w:rsidRPr="008B1078">
              <w:rPr>
                <w:szCs w:val="28"/>
              </w:rPr>
              <w:t xml:space="preserve"> funkcijās ietilpst dabas aizsardzības politikas īstenošanas organizēšana un koordinēšana.</w:t>
            </w:r>
          </w:p>
          <w:p w14:paraId="13E182A4" w14:textId="77777777" w:rsidR="00D94075" w:rsidRPr="008B1078" w:rsidRDefault="00D94075" w:rsidP="00D94075">
            <w:pPr>
              <w:spacing w:before="75" w:after="75"/>
              <w:jc w:val="both"/>
              <w:rPr>
                <w:szCs w:val="28"/>
              </w:rPr>
            </w:pPr>
            <w:r w:rsidRPr="008B1078">
              <w:rPr>
                <w:szCs w:val="28"/>
              </w:rPr>
              <w:t xml:space="preserve">Saskaņā ar Ministru kabineta 2009.gada 2.jūnija noteikumu Nr.507 „Dabas aizsardzības pārvaldes nolikums” 3.5.apakšpunktu </w:t>
            </w:r>
            <w:r w:rsidR="000C04FA">
              <w:rPr>
                <w:szCs w:val="28"/>
              </w:rPr>
              <w:t>P</w:t>
            </w:r>
            <w:r w:rsidR="00D3607B">
              <w:rPr>
                <w:szCs w:val="28"/>
              </w:rPr>
              <w:t>ārvaldes</w:t>
            </w:r>
            <w:r w:rsidRPr="008B1078">
              <w:rPr>
                <w:szCs w:val="28"/>
              </w:rPr>
              <w:t xml:space="preserve"> tiešajās funkcijās ietilpst organizēt īpaši aizsargājamo sugu, to dzīvotņu, kā arī īpaši aizsargājamo biotopu optimālus uzturēšanas un atjaunošanas, kā arī aizsardzības pasākumus, kā arī 3.7.apakšpunktu – plānot un organizēt nepieciešamos dabas aizsardzības un apsaimniekošanas pasākumus aizsargājamās teritorijās.</w:t>
            </w:r>
          </w:p>
          <w:p w14:paraId="4D5D7F7B" w14:textId="77777777" w:rsidR="008C0396" w:rsidRDefault="00D94075" w:rsidP="003F09FD">
            <w:pPr>
              <w:spacing w:before="75" w:after="75"/>
              <w:jc w:val="both"/>
              <w:rPr>
                <w:szCs w:val="28"/>
              </w:rPr>
            </w:pPr>
            <w:r>
              <w:rPr>
                <w:szCs w:val="28"/>
              </w:rPr>
              <w:t>Zemesgabals pēc rīkojuma projekta apstiprināšanas</w:t>
            </w:r>
            <w:r w:rsidRPr="008B1078">
              <w:rPr>
                <w:szCs w:val="28"/>
              </w:rPr>
              <w:t xml:space="preserve"> tiks ierakstītas zemesgrāmatā normatīvajos aktos noteiktā kārtībā uz valsts vārda </w:t>
            </w:r>
            <w:r w:rsidR="000C04FA">
              <w:rPr>
                <w:szCs w:val="28"/>
              </w:rPr>
              <w:t>Mi</w:t>
            </w:r>
            <w:r w:rsidRPr="008B1078">
              <w:rPr>
                <w:szCs w:val="28"/>
              </w:rPr>
              <w:t xml:space="preserve">nistrijas personā, iesniedzot likuma „Par valsts un pašvaldību zemes īpašuma tiesībām un to nostiprināšanu zemesgrāmatās” 13.panta pirmajā daļā noteiktos dokumentus. </w:t>
            </w:r>
          </w:p>
          <w:p w14:paraId="16F06A7A" w14:textId="77777777" w:rsidR="00BD52D3" w:rsidRPr="00ED283E" w:rsidRDefault="00D94075" w:rsidP="003F09FD">
            <w:pPr>
              <w:spacing w:before="75" w:after="75"/>
              <w:jc w:val="both"/>
              <w:rPr>
                <w:szCs w:val="28"/>
              </w:rPr>
            </w:pPr>
            <w:r w:rsidRPr="008B1078">
              <w:rPr>
                <w:szCs w:val="28"/>
              </w:rPr>
              <w:t xml:space="preserve">Saskaņā ar Ministru kabineta 2009.gada 2.jūnija noteikumu Nr.507 „Dabas aizsardzības pārvaldes nolikums” 3.16.apakšpunktu </w:t>
            </w:r>
            <w:r w:rsidR="000C04FA">
              <w:rPr>
                <w:szCs w:val="28"/>
              </w:rPr>
              <w:t>P</w:t>
            </w:r>
            <w:r w:rsidRPr="008B1078">
              <w:rPr>
                <w:szCs w:val="28"/>
              </w:rPr>
              <w:t xml:space="preserve">ārvalde apsaimnieko </w:t>
            </w:r>
            <w:r w:rsidRPr="008B1078">
              <w:rPr>
                <w:szCs w:val="28"/>
              </w:rPr>
              <w:lastRenderedPageBreak/>
              <w:t>Vides ministrijas (šobrīd –</w:t>
            </w:r>
            <w:r w:rsidR="00141E01">
              <w:rPr>
                <w:szCs w:val="28"/>
              </w:rPr>
              <w:t xml:space="preserve"> </w:t>
            </w:r>
            <w:r w:rsidR="008C0396">
              <w:rPr>
                <w:szCs w:val="28"/>
              </w:rPr>
              <w:t>M</w:t>
            </w:r>
            <w:r w:rsidRPr="008B1078">
              <w:rPr>
                <w:szCs w:val="28"/>
              </w:rPr>
              <w:t>inistrijas) valdījumā esošos valsts nekustamos īpašumus, kuri nodoti pārvaldes turējumā. Līdz</w:t>
            </w:r>
            <w:r w:rsidR="000C04FA">
              <w:rPr>
                <w:szCs w:val="28"/>
              </w:rPr>
              <w:t xml:space="preserve"> ar to rīkojuma projektā minēto</w:t>
            </w:r>
            <w:r w:rsidRPr="008B1078">
              <w:rPr>
                <w:szCs w:val="28"/>
              </w:rPr>
              <w:t xml:space="preserve"> nekustamo</w:t>
            </w:r>
            <w:r w:rsidR="000C04FA">
              <w:rPr>
                <w:szCs w:val="28"/>
              </w:rPr>
              <w:t xml:space="preserve"> īpašumu</w:t>
            </w:r>
            <w:r w:rsidRPr="008B1078">
              <w:rPr>
                <w:szCs w:val="28"/>
              </w:rPr>
              <w:t xml:space="preserve"> reģistrējot zemesgrāmatā uz valsts vārda </w:t>
            </w:r>
            <w:r w:rsidR="000C04FA">
              <w:rPr>
                <w:szCs w:val="28"/>
              </w:rPr>
              <w:t>M</w:t>
            </w:r>
            <w:r w:rsidRPr="008B1078">
              <w:rPr>
                <w:szCs w:val="28"/>
              </w:rPr>
              <w:t xml:space="preserve">inistrijas personā, </w:t>
            </w:r>
            <w:r w:rsidR="000C04FA">
              <w:rPr>
                <w:szCs w:val="28"/>
              </w:rPr>
              <w:t>Nekustamā īpašuma valsts kadastra informācijas sistēmā</w:t>
            </w:r>
            <w:r w:rsidRPr="008B1078">
              <w:rPr>
                <w:szCs w:val="28"/>
              </w:rPr>
              <w:t xml:space="preserve"> vienlaikus reģistrē </w:t>
            </w:r>
            <w:r w:rsidR="000C04FA">
              <w:rPr>
                <w:szCs w:val="28"/>
              </w:rPr>
              <w:t>P</w:t>
            </w:r>
            <w:r w:rsidRPr="008B1078">
              <w:rPr>
                <w:szCs w:val="28"/>
              </w:rPr>
              <w:t>ārvaldes lietojumā (turējumā).</w:t>
            </w:r>
          </w:p>
        </w:tc>
      </w:tr>
      <w:tr w:rsidR="00BD52D3" w:rsidRPr="00ED283E" w14:paraId="4E623F5E" w14:textId="77777777" w:rsidTr="008823EC">
        <w:trPr>
          <w:trHeight w:val="476"/>
          <w:tblCellSpacing w:w="0" w:type="dxa"/>
        </w:trPr>
        <w:tc>
          <w:tcPr>
            <w:tcW w:w="528" w:type="dxa"/>
            <w:tcBorders>
              <w:top w:val="outset" w:sz="6" w:space="0" w:color="auto"/>
              <w:left w:val="outset" w:sz="6" w:space="0" w:color="auto"/>
              <w:bottom w:val="outset" w:sz="6" w:space="0" w:color="auto"/>
              <w:right w:val="outset" w:sz="6" w:space="0" w:color="auto"/>
            </w:tcBorders>
          </w:tcPr>
          <w:p w14:paraId="271B1C9E" w14:textId="77777777" w:rsidR="00BD52D3" w:rsidRPr="00ED283E" w:rsidRDefault="00BD52D3" w:rsidP="008823EC">
            <w:pPr>
              <w:spacing w:before="75" w:after="75"/>
              <w:rPr>
                <w:szCs w:val="28"/>
              </w:rPr>
            </w:pPr>
            <w:r w:rsidRPr="00ED283E">
              <w:rPr>
                <w:szCs w:val="28"/>
              </w:rPr>
              <w:lastRenderedPageBreak/>
              <w:t> </w:t>
            </w:r>
            <w:r w:rsidR="008823EC">
              <w:rPr>
                <w:szCs w:val="28"/>
              </w:rPr>
              <w:t>3</w:t>
            </w:r>
            <w:r w:rsidRPr="00ED283E">
              <w:rPr>
                <w:szCs w:val="28"/>
              </w:rPr>
              <w:t>.</w:t>
            </w:r>
          </w:p>
        </w:tc>
        <w:tc>
          <w:tcPr>
            <w:tcW w:w="2889" w:type="dxa"/>
            <w:tcBorders>
              <w:top w:val="outset" w:sz="6" w:space="0" w:color="auto"/>
              <w:left w:val="outset" w:sz="6" w:space="0" w:color="auto"/>
              <w:bottom w:val="outset" w:sz="6" w:space="0" w:color="auto"/>
              <w:right w:val="outset" w:sz="6" w:space="0" w:color="auto"/>
            </w:tcBorders>
          </w:tcPr>
          <w:p w14:paraId="5625A261" w14:textId="77777777" w:rsidR="00BD52D3" w:rsidRPr="00ED283E" w:rsidRDefault="00BD52D3" w:rsidP="00EF12AF">
            <w:pPr>
              <w:spacing w:before="75" w:after="75"/>
              <w:rPr>
                <w:szCs w:val="28"/>
              </w:rPr>
            </w:pPr>
            <w:r w:rsidRPr="00ED283E">
              <w:rPr>
                <w:szCs w:val="28"/>
              </w:rPr>
              <w:t> Projekta izstrādē iesaistītās institūcijas</w:t>
            </w:r>
          </w:p>
        </w:tc>
        <w:tc>
          <w:tcPr>
            <w:tcW w:w="5812" w:type="dxa"/>
            <w:tcBorders>
              <w:top w:val="outset" w:sz="6" w:space="0" w:color="auto"/>
              <w:left w:val="outset" w:sz="6" w:space="0" w:color="auto"/>
              <w:bottom w:val="outset" w:sz="6" w:space="0" w:color="auto"/>
              <w:right w:val="outset" w:sz="6" w:space="0" w:color="auto"/>
            </w:tcBorders>
          </w:tcPr>
          <w:p w14:paraId="7CD339ED" w14:textId="77777777" w:rsidR="00BD52D3" w:rsidRPr="00ED283E" w:rsidRDefault="00BD52D3" w:rsidP="001A0B46">
            <w:pPr>
              <w:spacing w:before="75" w:after="75"/>
              <w:jc w:val="both"/>
              <w:rPr>
                <w:szCs w:val="28"/>
              </w:rPr>
            </w:pPr>
            <w:r w:rsidRPr="00ED283E">
              <w:rPr>
                <w:szCs w:val="28"/>
              </w:rPr>
              <w:t> </w:t>
            </w:r>
            <w:r w:rsidR="001A0B46">
              <w:rPr>
                <w:szCs w:val="28"/>
              </w:rPr>
              <w:t>Ministrija, Pārvalde</w:t>
            </w:r>
          </w:p>
        </w:tc>
      </w:tr>
      <w:tr w:rsidR="00BD52D3" w:rsidRPr="00ED283E" w14:paraId="7810B8B5" w14:textId="77777777" w:rsidTr="008823EC">
        <w:trPr>
          <w:tblCellSpacing w:w="0" w:type="dxa"/>
        </w:trPr>
        <w:tc>
          <w:tcPr>
            <w:tcW w:w="528" w:type="dxa"/>
            <w:tcBorders>
              <w:top w:val="outset" w:sz="6" w:space="0" w:color="auto"/>
              <w:left w:val="outset" w:sz="6" w:space="0" w:color="auto"/>
              <w:bottom w:val="outset" w:sz="6" w:space="0" w:color="auto"/>
              <w:right w:val="outset" w:sz="6" w:space="0" w:color="auto"/>
            </w:tcBorders>
          </w:tcPr>
          <w:p w14:paraId="2A25E62C" w14:textId="77777777" w:rsidR="00BD52D3" w:rsidRPr="00ED283E" w:rsidRDefault="00BD52D3" w:rsidP="008823EC">
            <w:pPr>
              <w:spacing w:before="75" w:after="75"/>
              <w:rPr>
                <w:szCs w:val="28"/>
              </w:rPr>
            </w:pPr>
            <w:r w:rsidRPr="00ED283E">
              <w:rPr>
                <w:szCs w:val="28"/>
              </w:rPr>
              <w:t> </w:t>
            </w:r>
            <w:r w:rsidR="008823EC">
              <w:rPr>
                <w:szCs w:val="28"/>
              </w:rPr>
              <w:t>4</w:t>
            </w:r>
            <w:r w:rsidRPr="00ED283E">
              <w:rPr>
                <w:szCs w:val="28"/>
              </w:rPr>
              <w:t>.</w:t>
            </w:r>
          </w:p>
        </w:tc>
        <w:tc>
          <w:tcPr>
            <w:tcW w:w="2889" w:type="dxa"/>
            <w:tcBorders>
              <w:top w:val="outset" w:sz="6" w:space="0" w:color="auto"/>
              <w:left w:val="outset" w:sz="6" w:space="0" w:color="auto"/>
              <w:bottom w:val="outset" w:sz="6" w:space="0" w:color="auto"/>
              <w:right w:val="outset" w:sz="6" w:space="0" w:color="auto"/>
            </w:tcBorders>
          </w:tcPr>
          <w:p w14:paraId="0AFBE47A" w14:textId="77777777" w:rsidR="00BD52D3" w:rsidRPr="00ED283E" w:rsidRDefault="00BD52D3" w:rsidP="00EF12AF">
            <w:pPr>
              <w:spacing w:before="75" w:after="75"/>
              <w:rPr>
                <w:szCs w:val="28"/>
              </w:rPr>
            </w:pPr>
            <w:r w:rsidRPr="00ED283E">
              <w:rPr>
                <w:szCs w:val="28"/>
              </w:rPr>
              <w:t> Cita informācija</w:t>
            </w:r>
          </w:p>
        </w:tc>
        <w:tc>
          <w:tcPr>
            <w:tcW w:w="5812" w:type="dxa"/>
            <w:tcBorders>
              <w:top w:val="outset" w:sz="6" w:space="0" w:color="auto"/>
              <w:left w:val="outset" w:sz="6" w:space="0" w:color="auto"/>
              <w:bottom w:val="outset" w:sz="6" w:space="0" w:color="auto"/>
              <w:right w:val="outset" w:sz="6" w:space="0" w:color="auto"/>
            </w:tcBorders>
          </w:tcPr>
          <w:p w14:paraId="44973673" w14:textId="68C9CC35" w:rsidR="004D5AB4" w:rsidRPr="00184FD1" w:rsidRDefault="00475020">
            <w:pPr>
              <w:spacing w:before="75" w:after="75"/>
              <w:jc w:val="both"/>
              <w:rPr>
                <w:szCs w:val="28"/>
              </w:rPr>
            </w:pPr>
            <w:r>
              <w:rPr>
                <w:szCs w:val="28"/>
              </w:rPr>
              <w:t xml:space="preserve">Par valstij Ministrijas personā piederošo nekustamo īpašumu apsaimniekošanu dabas liegumā “Lielupes palienes pļavas” noslēgts līdzdarbības līgums (spēkā līdz 2018.gada 2.decembrim) starp Pārvaldi un nodibinājumu “Latvijas Dabas fonds”. Pēc rīkojuma projekta apstiprināšanas nepieciešams </w:t>
            </w:r>
            <w:r w:rsidR="00382246">
              <w:rPr>
                <w:szCs w:val="28"/>
              </w:rPr>
              <w:t>pārskatīt</w:t>
            </w:r>
            <w:r>
              <w:rPr>
                <w:szCs w:val="28"/>
              </w:rPr>
              <w:t xml:space="preserve"> minēto līdzdarbības līgumu, pievienojot zemesgabalu apsaimniekojamo zemesgabalu sarakstā.</w:t>
            </w:r>
          </w:p>
        </w:tc>
      </w:tr>
    </w:tbl>
    <w:p w14:paraId="348AFD47" w14:textId="77777777" w:rsidR="008823EC" w:rsidRDefault="008823EC" w:rsidP="0026194A">
      <w:pPr>
        <w:spacing w:before="75" w:after="75"/>
        <w:ind w:firstLine="375"/>
        <w:jc w:val="both"/>
        <w:rPr>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8823EC" w14:paraId="0E593B38" w14:textId="77777777" w:rsidTr="001A0B46">
        <w:tc>
          <w:tcPr>
            <w:tcW w:w="9214" w:type="dxa"/>
            <w:tcBorders>
              <w:left w:val="single" w:sz="4" w:space="0" w:color="auto"/>
              <w:right w:val="single" w:sz="4" w:space="0" w:color="auto"/>
            </w:tcBorders>
            <w:shd w:val="clear" w:color="auto" w:fill="auto"/>
          </w:tcPr>
          <w:p w14:paraId="53235AA5" w14:textId="77777777" w:rsidR="008823EC" w:rsidRDefault="008823EC" w:rsidP="005C47FF">
            <w:pPr>
              <w:ind w:left="113" w:right="96"/>
              <w:jc w:val="center"/>
              <w:rPr>
                <w:b/>
                <w:bCs/>
                <w:szCs w:val="28"/>
              </w:rPr>
            </w:pPr>
            <w:r w:rsidRPr="005C47FF">
              <w:rPr>
                <w:b/>
                <w:bCs/>
                <w:szCs w:val="28"/>
              </w:rPr>
              <w:t>II</w:t>
            </w:r>
            <w:r>
              <w:rPr>
                <w:b/>
                <w:bCs/>
                <w:szCs w:val="28"/>
              </w:rPr>
              <w:t>.</w:t>
            </w:r>
            <w:r w:rsidRPr="005C47FF">
              <w:rPr>
                <w:b/>
                <w:bCs/>
                <w:szCs w:val="28"/>
              </w:rPr>
              <w:t xml:space="preserve"> Tiesību akta projekta ietekme uz sabiedrību, tautsaimniecības attīstību un administratīvo slogu</w:t>
            </w:r>
          </w:p>
        </w:tc>
      </w:tr>
      <w:tr w:rsidR="008823EC" w14:paraId="3DE0AC52" w14:textId="77777777" w:rsidTr="001A0B46">
        <w:tc>
          <w:tcPr>
            <w:tcW w:w="9214" w:type="dxa"/>
            <w:tcBorders>
              <w:left w:val="single" w:sz="4" w:space="0" w:color="auto"/>
              <w:bottom w:val="single" w:sz="4" w:space="0" w:color="auto"/>
              <w:right w:val="single" w:sz="4" w:space="0" w:color="auto"/>
            </w:tcBorders>
            <w:shd w:val="clear" w:color="auto" w:fill="auto"/>
          </w:tcPr>
          <w:p w14:paraId="10418D91" w14:textId="77777777" w:rsidR="008823EC" w:rsidRDefault="008823EC" w:rsidP="005C47FF">
            <w:pPr>
              <w:ind w:left="113" w:right="96"/>
              <w:jc w:val="center"/>
              <w:rPr>
                <w:b/>
                <w:bCs/>
                <w:szCs w:val="28"/>
              </w:rPr>
            </w:pPr>
            <w:r>
              <w:t>Projekts šo jomu neskar</w:t>
            </w:r>
          </w:p>
        </w:tc>
      </w:tr>
    </w:tbl>
    <w:p w14:paraId="6F3FABEA" w14:textId="77777777" w:rsidR="008823EC" w:rsidRDefault="008823EC" w:rsidP="0026194A">
      <w:pPr>
        <w:spacing w:before="75" w:after="75"/>
        <w:ind w:firstLine="375"/>
        <w:jc w:val="both"/>
        <w:rPr>
          <w:szCs w:val="28"/>
        </w:rPr>
      </w:pPr>
    </w:p>
    <w:p w14:paraId="78B31FF3" w14:textId="77777777" w:rsidR="00DD1C63" w:rsidRDefault="00DD1C63" w:rsidP="0026194A">
      <w:pPr>
        <w:spacing w:before="75" w:after="75"/>
        <w:ind w:firstLine="375"/>
        <w:jc w:val="both"/>
        <w:rPr>
          <w:szCs w:val="28"/>
        </w:rPr>
      </w:pPr>
    </w:p>
    <w:p w14:paraId="0ADD9582" w14:textId="77777777" w:rsidR="00DD1C63" w:rsidRDefault="00DD1C63" w:rsidP="0026194A">
      <w:pPr>
        <w:spacing w:before="75" w:after="75"/>
        <w:ind w:firstLine="375"/>
        <w:jc w:val="both"/>
        <w:rPr>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418"/>
        <w:gridCol w:w="1842"/>
        <w:gridCol w:w="1125"/>
        <w:gridCol w:w="9"/>
        <w:gridCol w:w="1274"/>
        <w:gridCol w:w="1420"/>
      </w:tblGrid>
      <w:tr w:rsidR="008823EC" w:rsidRPr="003F2F7B" w14:paraId="04B9144F" w14:textId="77777777" w:rsidTr="00DD1C63">
        <w:tc>
          <w:tcPr>
            <w:tcW w:w="9498" w:type="dxa"/>
            <w:gridSpan w:val="7"/>
            <w:tcBorders>
              <w:top w:val="single" w:sz="4" w:space="0" w:color="auto"/>
            </w:tcBorders>
            <w:shd w:val="clear" w:color="auto" w:fill="auto"/>
          </w:tcPr>
          <w:p w14:paraId="71BD42D0" w14:textId="77777777" w:rsidR="008823EC" w:rsidRPr="003F2F7B" w:rsidRDefault="008823EC" w:rsidP="005C47FF">
            <w:pPr>
              <w:ind w:left="113" w:right="96"/>
              <w:jc w:val="center"/>
              <w:rPr>
                <w:rFonts w:eastAsia="Calibri"/>
                <w:szCs w:val="28"/>
              </w:rPr>
            </w:pPr>
            <w:r>
              <w:rPr>
                <w:b/>
                <w:bCs/>
                <w:szCs w:val="28"/>
              </w:rPr>
              <w:t>III. Tiesību akta projekta ietekme uz valsts budžetu un pašvaldību budžetiem</w:t>
            </w:r>
          </w:p>
        </w:tc>
      </w:tr>
      <w:tr w:rsidR="008823EC" w:rsidRPr="00973920" w14:paraId="72629B24" w14:textId="77777777" w:rsidTr="001C178A">
        <w:tc>
          <w:tcPr>
            <w:tcW w:w="2410" w:type="dxa"/>
            <w:vMerge w:val="restart"/>
            <w:shd w:val="clear" w:color="auto" w:fill="auto"/>
          </w:tcPr>
          <w:p w14:paraId="4B4CE028" w14:textId="77777777" w:rsidR="008823EC" w:rsidRPr="003F2F7B" w:rsidRDefault="008823EC" w:rsidP="005C47FF">
            <w:pPr>
              <w:rPr>
                <w:rFonts w:eastAsia="Calibri"/>
                <w:szCs w:val="28"/>
              </w:rPr>
            </w:pPr>
            <w:r>
              <w:rPr>
                <w:b/>
                <w:bCs/>
                <w:szCs w:val="28"/>
              </w:rPr>
              <w:t>Rādītāji</w:t>
            </w:r>
          </w:p>
        </w:tc>
        <w:tc>
          <w:tcPr>
            <w:tcW w:w="3260" w:type="dxa"/>
            <w:gridSpan w:val="2"/>
            <w:vMerge w:val="restart"/>
            <w:shd w:val="clear" w:color="auto" w:fill="auto"/>
          </w:tcPr>
          <w:p w14:paraId="5F4046FB" w14:textId="77777777" w:rsidR="008823EC" w:rsidRPr="00973920" w:rsidRDefault="008823EC" w:rsidP="005C47FF">
            <w:pPr>
              <w:ind w:left="113" w:right="96"/>
              <w:jc w:val="both"/>
              <w:rPr>
                <w:rFonts w:eastAsia="Calibri"/>
                <w:sz w:val="20"/>
                <w:szCs w:val="20"/>
              </w:rPr>
            </w:pPr>
            <w:r w:rsidRPr="00973920">
              <w:rPr>
                <w:b/>
                <w:bCs/>
                <w:sz w:val="20"/>
                <w:szCs w:val="20"/>
              </w:rPr>
              <w:t>2017.gads</w:t>
            </w:r>
          </w:p>
        </w:tc>
        <w:tc>
          <w:tcPr>
            <w:tcW w:w="3828" w:type="dxa"/>
            <w:gridSpan w:val="4"/>
            <w:shd w:val="clear" w:color="auto" w:fill="auto"/>
          </w:tcPr>
          <w:p w14:paraId="3FEFECF7" w14:textId="77777777" w:rsidR="008823EC" w:rsidRPr="00973920" w:rsidRDefault="008823EC" w:rsidP="005C47FF">
            <w:pPr>
              <w:ind w:left="113" w:right="96"/>
              <w:jc w:val="both"/>
              <w:rPr>
                <w:rFonts w:eastAsia="Calibri"/>
                <w:sz w:val="20"/>
                <w:szCs w:val="20"/>
              </w:rPr>
            </w:pPr>
            <w:r w:rsidRPr="00973920">
              <w:rPr>
                <w:sz w:val="20"/>
                <w:szCs w:val="20"/>
              </w:rPr>
              <w:t>Turpmākie trīs gadi (</w:t>
            </w:r>
            <w:proofErr w:type="spellStart"/>
            <w:r w:rsidRPr="00973920">
              <w:rPr>
                <w:i/>
                <w:iCs/>
                <w:sz w:val="20"/>
                <w:szCs w:val="20"/>
              </w:rPr>
              <w:t>euro</w:t>
            </w:r>
            <w:proofErr w:type="spellEnd"/>
            <w:r w:rsidRPr="00973920">
              <w:rPr>
                <w:sz w:val="20"/>
                <w:szCs w:val="20"/>
              </w:rPr>
              <w:t>)</w:t>
            </w:r>
          </w:p>
        </w:tc>
      </w:tr>
      <w:tr w:rsidR="008823EC" w:rsidRPr="00973920" w14:paraId="3469421E" w14:textId="77777777" w:rsidTr="001C178A">
        <w:tc>
          <w:tcPr>
            <w:tcW w:w="2410" w:type="dxa"/>
            <w:vMerge/>
            <w:shd w:val="clear" w:color="auto" w:fill="auto"/>
          </w:tcPr>
          <w:p w14:paraId="4BE6A4FF" w14:textId="77777777" w:rsidR="008823EC" w:rsidRPr="003F2F7B" w:rsidRDefault="008823EC" w:rsidP="005C47FF">
            <w:pPr>
              <w:rPr>
                <w:rFonts w:eastAsia="Calibri"/>
                <w:szCs w:val="28"/>
              </w:rPr>
            </w:pPr>
          </w:p>
        </w:tc>
        <w:tc>
          <w:tcPr>
            <w:tcW w:w="3260" w:type="dxa"/>
            <w:gridSpan w:val="2"/>
            <w:vMerge/>
            <w:shd w:val="clear" w:color="auto" w:fill="auto"/>
          </w:tcPr>
          <w:p w14:paraId="6A549A49" w14:textId="77777777" w:rsidR="008823EC" w:rsidRPr="00973920" w:rsidRDefault="008823EC" w:rsidP="005C47FF">
            <w:pPr>
              <w:ind w:left="113" w:right="96"/>
              <w:jc w:val="both"/>
              <w:rPr>
                <w:rFonts w:eastAsia="Calibri"/>
                <w:sz w:val="20"/>
                <w:szCs w:val="20"/>
              </w:rPr>
            </w:pPr>
          </w:p>
        </w:tc>
        <w:tc>
          <w:tcPr>
            <w:tcW w:w="1134" w:type="dxa"/>
            <w:gridSpan w:val="2"/>
            <w:shd w:val="clear" w:color="auto" w:fill="auto"/>
          </w:tcPr>
          <w:p w14:paraId="4AAFBF95" w14:textId="77777777" w:rsidR="008823EC" w:rsidRPr="00973920" w:rsidRDefault="008823EC" w:rsidP="005C47FF">
            <w:pPr>
              <w:ind w:left="113" w:right="96"/>
              <w:jc w:val="both"/>
              <w:rPr>
                <w:rFonts w:eastAsia="Calibri"/>
                <w:sz w:val="20"/>
                <w:szCs w:val="20"/>
              </w:rPr>
            </w:pPr>
            <w:r w:rsidRPr="00973920">
              <w:rPr>
                <w:rFonts w:eastAsia="Calibri"/>
                <w:sz w:val="20"/>
                <w:szCs w:val="20"/>
              </w:rPr>
              <w:t>2018</w:t>
            </w:r>
          </w:p>
        </w:tc>
        <w:tc>
          <w:tcPr>
            <w:tcW w:w="1274" w:type="dxa"/>
            <w:shd w:val="clear" w:color="auto" w:fill="auto"/>
          </w:tcPr>
          <w:p w14:paraId="53558188" w14:textId="77777777" w:rsidR="008823EC" w:rsidRPr="00973920" w:rsidRDefault="008823EC" w:rsidP="005C47FF">
            <w:pPr>
              <w:ind w:left="113" w:right="96"/>
              <w:jc w:val="both"/>
              <w:rPr>
                <w:rFonts w:eastAsia="Calibri"/>
                <w:sz w:val="20"/>
                <w:szCs w:val="20"/>
              </w:rPr>
            </w:pPr>
            <w:r w:rsidRPr="00973920">
              <w:rPr>
                <w:rFonts w:eastAsia="Calibri"/>
                <w:sz w:val="20"/>
                <w:szCs w:val="20"/>
              </w:rPr>
              <w:t>2019</w:t>
            </w:r>
          </w:p>
        </w:tc>
        <w:tc>
          <w:tcPr>
            <w:tcW w:w="1420" w:type="dxa"/>
            <w:shd w:val="clear" w:color="auto" w:fill="auto"/>
          </w:tcPr>
          <w:p w14:paraId="12572669" w14:textId="77777777" w:rsidR="008823EC" w:rsidRPr="00973920" w:rsidRDefault="008823EC" w:rsidP="005C47FF">
            <w:pPr>
              <w:ind w:left="113" w:right="96"/>
              <w:jc w:val="both"/>
              <w:rPr>
                <w:rFonts w:eastAsia="Calibri"/>
                <w:sz w:val="20"/>
                <w:szCs w:val="20"/>
              </w:rPr>
            </w:pPr>
            <w:r w:rsidRPr="00973920">
              <w:rPr>
                <w:rFonts w:eastAsia="Calibri"/>
                <w:sz w:val="20"/>
                <w:szCs w:val="20"/>
              </w:rPr>
              <w:t>2020</w:t>
            </w:r>
          </w:p>
        </w:tc>
      </w:tr>
      <w:tr w:rsidR="008823EC" w:rsidRPr="00973920" w14:paraId="7EC2D3D5" w14:textId="77777777" w:rsidTr="001C178A">
        <w:tc>
          <w:tcPr>
            <w:tcW w:w="2410" w:type="dxa"/>
            <w:vMerge/>
            <w:shd w:val="clear" w:color="auto" w:fill="auto"/>
          </w:tcPr>
          <w:p w14:paraId="451A46AD" w14:textId="77777777" w:rsidR="008823EC" w:rsidRPr="003F2F7B" w:rsidRDefault="008823EC" w:rsidP="005C47FF">
            <w:pPr>
              <w:rPr>
                <w:rFonts w:eastAsia="Calibri"/>
                <w:szCs w:val="28"/>
              </w:rPr>
            </w:pPr>
          </w:p>
        </w:tc>
        <w:tc>
          <w:tcPr>
            <w:tcW w:w="1418" w:type="dxa"/>
            <w:shd w:val="clear" w:color="auto" w:fill="auto"/>
          </w:tcPr>
          <w:p w14:paraId="1C162328" w14:textId="3622AC32" w:rsidR="008823EC" w:rsidRPr="00973920" w:rsidRDefault="00973920" w:rsidP="005C47FF">
            <w:pPr>
              <w:ind w:left="113" w:right="96"/>
              <w:jc w:val="both"/>
              <w:rPr>
                <w:rFonts w:eastAsia="Calibri"/>
                <w:sz w:val="20"/>
                <w:szCs w:val="20"/>
              </w:rPr>
            </w:pPr>
            <w:r w:rsidRPr="00973920">
              <w:rPr>
                <w:sz w:val="20"/>
                <w:szCs w:val="20"/>
              </w:rPr>
              <w:t>saska</w:t>
            </w:r>
            <w:r w:rsidR="008823EC" w:rsidRPr="00973920">
              <w:rPr>
                <w:sz w:val="20"/>
                <w:szCs w:val="20"/>
              </w:rPr>
              <w:t>ņā ar valsts budžet</w:t>
            </w:r>
            <w:r w:rsidRPr="00973920">
              <w:rPr>
                <w:sz w:val="20"/>
                <w:szCs w:val="20"/>
              </w:rPr>
              <w:t>u kārtē</w:t>
            </w:r>
            <w:r w:rsidR="008823EC" w:rsidRPr="00973920">
              <w:rPr>
                <w:sz w:val="20"/>
                <w:szCs w:val="20"/>
              </w:rPr>
              <w:t>jam gadam</w:t>
            </w:r>
          </w:p>
        </w:tc>
        <w:tc>
          <w:tcPr>
            <w:tcW w:w="1842" w:type="dxa"/>
            <w:shd w:val="clear" w:color="auto" w:fill="auto"/>
          </w:tcPr>
          <w:p w14:paraId="184F73E0" w14:textId="2CBEE3BE" w:rsidR="008823EC" w:rsidRPr="00973920" w:rsidRDefault="008823EC" w:rsidP="005C47FF">
            <w:pPr>
              <w:ind w:left="113" w:right="96"/>
              <w:jc w:val="both"/>
              <w:rPr>
                <w:rFonts w:eastAsia="Calibri"/>
                <w:sz w:val="20"/>
                <w:szCs w:val="20"/>
              </w:rPr>
            </w:pPr>
            <w:r w:rsidRPr="00973920">
              <w:rPr>
                <w:sz w:val="20"/>
                <w:szCs w:val="20"/>
              </w:rPr>
              <w:t>izmaiņas kārtējā ga</w:t>
            </w:r>
            <w:r w:rsidR="00973920" w:rsidRPr="00973920">
              <w:rPr>
                <w:sz w:val="20"/>
                <w:szCs w:val="20"/>
              </w:rPr>
              <w:t>dā, salīdzinot ar valsts budžetu kārtē</w:t>
            </w:r>
            <w:r w:rsidRPr="00973920">
              <w:rPr>
                <w:sz w:val="20"/>
                <w:szCs w:val="20"/>
              </w:rPr>
              <w:t>jam gadam</w:t>
            </w:r>
          </w:p>
        </w:tc>
        <w:tc>
          <w:tcPr>
            <w:tcW w:w="1134" w:type="dxa"/>
            <w:gridSpan w:val="2"/>
            <w:shd w:val="clear" w:color="auto" w:fill="auto"/>
          </w:tcPr>
          <w:p w14:paraId="3B1D10A6" w14:textId="417FB314" w:rsidR="008823EC" w:rsidRPr="00973920" w:rsidRDefault="00973920" w:rsidP="005C47FF">
            <w:pPr>
              <w:ind w:left="113" w:right="96"/>
              <w:jc w:val="both"/>
              <w:rPr>
                <w:rFonts w:eastAsia="Calibri"/>
                <w:sz w:val="20"/>
                <w:szCs w:val="20"/>
              </w:rPr>
            </w:pPr>
            <w:r w:rsidRPr="00973920">
              <w:rPr>
                <w:sz w:val="20"/>
                <w:szCs w:val="20"/>
              </w:rPr>
              <w:t>izmaiņas, salīdzi</w:t>
            </w:r>
            <w:r>
              <w:rPr>
                <w:sz w:val="20"/>
                <w:szCs w:val="20"/>
              </w:rPr>
              <w:t>not ar kārtējo 2017.ga</w:t>
            </w:r>
            <w:r w:rsidR="008823EC" w:rsidRPr="00973920">
              <w:rPr>
                <w:sz w:val="20"/>
                <w:szCs w:val="20"/>
              </w:rPr>
              <w:t>du</w:t>
            </w:r>
          </w:p>
        </w:tc>
        <w:tc>
          <w:tcPr>
            <w:tcW w:w="1274" w:type="dxa"/>
            <w:shd w:val="clear" w:color="auto" w:fill="auto"/>
          </w:tcPr>
          <w:p w14:paraId="65147397" w14:textId="65F50DAE" w:rsidR="008823EC" w:rsidRPr="00973920" w:rsidRDefault="00973920" w:rsidP="005C47FF">
            <w:pPr>
              <w:ind w:left="113" w:right="96"/>
              <w:jc w:val="both"/>
              <w:rPr>
                <w:rFonts w:eastAsia="Calibri"/>
                <w:sz w:val="20"/>
                <w:szCs w:val="20"/>
              </w:rPr>
            </w:pPr>
            <w:r w:rsidRPr="00973920">
              <w:rPr>
                <w:sz w:val="20"/>
                <w:szCs w:val="20"/>
              </w:rPr>
              <w:t>izmaiņas, salīdzinot ar kārtējo 2017.ga</w:t>
            </w:r>
            <w:r w:rsidR="008823EC" w:rsidRPr="00973920">
              <w:rPr>
                <w:sz w:val="20"/>
                <w:szCs w:val="20"/>
              </w:rPr>
              <w:t>du</w:t>
            </w:r>
          </w:p>
        </w:tc>
        <w:tc>
          <w:tcPr>
            <w:tcW w:w="1420" w:type="dxa"/>
            <w:shd w:val="clear" w:color="auto" w:fill="auto"/>
          </w:tcPr>
          <w:p w14:paraId="5CA3460A" w14:textId="6AC2CDFF" w:rsidR="008823EC" w:rsidRPr="00973920" w:rsidRDefault="00973920" w:rsidP="005C47FF">
            <w:pPr>
              <w:ind w:left="113" w:right="96"/>
              <w:jc w:val="both"/>
              <w:rPr>
                <w:rFonts w:eastAsia="Calibri"/>
                <w:sz w:val="20"/>
                <w:szCs w:val="20"/>
              </w:rPr>
            </w:pPr>
            <w:r w:rsidRPr="00973920">
              <w:rPr>
                <w:sz w:val="20"/>
                <w:szCs w:val="20"/>
              </w:rPr>
              <w:t>izmaiņas, salīdzi</w:t>
            </w:r>
            <w:r w:rsidR="008823EC" w:rsidRPr="00973920">
              <w:rPr>
                <w:sz w:val="20"/>
                <w:szCs w:val="20"/>
              </w:rPr>
              <w:t xml:space="preserve">not ar kārtējo </w:t>
            </w:r>
            <w:r w:rsidRPr="00973920">
              <w:rPr>
                <w:sz w:val="20"/>
                <w:szCs w:val="20"/>
              </w:rPr>
              <w:t>2017.ga</w:t>
            </w:r>
            <w:r w:rsidR="008823EC" w:rsidRPr="00973920">
              <w:rPr>
                <w:sz w:val="20"/>
                <w:szCs w:val="20"/>
              </w:rPr>
              <w:t>du</w:t>
            </w:r>
          </w:p>
        </w:tc>
      </w:tr>
      <w:tr w:rsidR="008823EC" w:rsidRPr="00973920" w14:paraId="291238F5" w14:textId="77777777" w:rsidTr="001C178A">
        <w:tc>
          <w:tcPr>
            <w:tcW w:w="2410" w:type="dxa"/>
            <w:shd w:val="clear" w:color="auto" w:fill="auto"/>
          </w:tcPr>
          <w:p w14:paraId="1345894B" w14:textId="77777777" w:rsidR="008823EC" w:rsidRPr="003F2F7B" w:rsidRDefault="008823EC" w:rsidP="005C47FF">
            <w:pPr>
              <w:rPr>
                <w:rFonts w:eastAsia="Calibri"/>
                <w:szCs w:val="28"/>
              </w:rPr>
            </w:pPr>
            <w:r>
              <w:rPr>
                <w:rFonts w:eastAsia="Calibri"/>
                <w:szCs w:val="28"/>
              </w:rPr>
              <w:t>1</w:t>
            </w:r>
          </w:p>
        </w:tc>
        <w:tc>
          <w:tcPr>
            <w:tcW w:w="1418" w:type="dxa"/>
            <w:shd w:val="clear" w:color="auto" w:fill="auto"/>
          </w:tcPr>
          <w:p w14:paraId="6DB0BFE9" w14:textId="77777777" w:rsidR="008823EC" w:rsidRPr="00973920" w:rsidRDefault="008823EC" w:rsidP="005C47FF">
            <w:pPr>
              <w:ind w:left="113" w:right="96"/>
              <w:jc w:val="both"/>
              <w:rPr>
                <w:rFonts w:eastAsia="Calibri"/>
                <w:sz w:val="20"/>
                <w:szCs w:val="20"/>
              </w:rPr>
            </w:pPr>
            <w:r w:rsidRPr="00973920">
              <w:rPr>
                <w:rFonts w:eastAsia="Calibri"/>
                <w:sz w:val="20"/>
                <w:szCs w:val="20"/>
              </w:rPr>
              <w:t>2</w:t>
            </w:r>
          </w:p>
        </w:tc>
        <w:tc>
          <w:tcPr>
            <w:tcW w:w="1842" w:type="dxa"/>
            <w:shd w:val="clear" w:color="auto" w:fill="auto"/>
          </w:tcPr>
          <w:p w14:paraId="30BF3A4B" w14:textId="77777777" w:rsidR="008823EC" w:rsidRPr="00973920" w:rsidRDefault="008823EC" w:rsidP="005C47FF">
            <w:pPr>
              <w:ind w:left="113" w:right="96"/>
              <w:jc w:val="both"/>
              <w:rPr>
                <w:rFonts w:eastAsia="Calibri"/>
                <w:sz w:val="20"/>
                <w:szCs w:val="20"/>
              </w:rPr>
            </w:pPr>
            <w:r w:rsidRPr="00973920">
              <w:rPr>
                <w:rFonts w:eastAsia="Calibri"/>
                <w:sz w:val="20"/>
                <w:szCs w:val="20"/>
              </w:rPr>
              <w:t>3</w:t>
            </w:r>
          </w:p>
        </w:tc>
        <w:tc>
          <w:tcPr>
            <w:tcW w:w="1134" w:type="dxa"/>
            <w:gridSpan w:val="2"/>
            <w:shd w:val="clear" w:color="auto" w:fill="auto"/>
          </w:tcPr>
          <w:p w14:paraId="332C1169" w14:textId="77777777" w:rsidR="008823EC" w:rsidRPr="00973920" w:rsidRDefault="008823EC" w:rsidP="005C47FF">
            <w:pPr>
              <w:ind w:left="113" w:right="96"/>
              <w:jc w:val="both"/>
              <w:rPr>
                <w:rFonts w:eastAsia="Calibri"/>
                <w:sz w:val="20"/>
                <w:szCs w:val="20"/>
              </w:rPr>
            </w:pPr>
            <w:r w:rsidRPr="00973920">
              <w:rPr>
                <w:rFonts w:eastAsia="Calibri"/>
                <w:sz w:val="20"/>
                <w:szCs w:val="20"/>
              </w:rPr>
              <w:t>4</w:t>
            </w:r>
          </w:p>
        </w:tc>
        <w:tc>
          <w:tcPr>
            <w:tcW w:w="1274" w:type="dxa"/>
            <w:shd w:val="clear" w:color="auto" w:fill="auto"/>
          </w:tcPr>
          <w:p w14:paraId="3CA4AB88" w14:textId="77777777" w:rsidR="008823EC" w:rsidRPr="00973920" w:rsidRDefault="008823EC" w:rsidP="005C47FF">
            <w:pPr>
              <w:ind w:left="113" w:right="96"/>
              <w:jc w:val="both"/>
              <w:rPr>
                <w:rFonts w:eastAsia="Calibri"/>
                <w:sz w:val="20"/>
                <w:szCs w:val="20"/>
              </w:rPr>
            </w:pPr>
            <w:r w:rsidRPr="00973920">
              <w:rPr>
                <w:rFonts w:eastAsia="Calibri"/>
                <w:sz w:val="20"/>
                <w:szCs w:val="20"/>
              </w:rPr>
              <w:t>5</w:t>
            </w:r>
          </w:p>
        </w:tc>
        <w:tc>
          <w:tcPr>
            <w:tcW w:w="1420" w:type="dxa"/>
            <w:shd w:val="clear" w:color="auto" w:fill="auto"/>
          </w:tcPr>
          <w:p w14:paraId="145557B3" w14:textId="77777777" w:rsidR="008823EC" w:rsidRPr="00973920" w:rsidRDefault="008823EC" w:rsidP="005C47FF">
            <w:pPr>
              <w:ind w:left="113" w:right="96"/>
              <w:jc w:val="both"/>
              <w:rPr>
                <w:rFonts w:eastAsia="Calibri"/>
                <w:sz w:val="20"/>
                <w:szCs w:val="20"/>
              </w:rPr>
            </w:pPr>
            <w:r w:rsidRPr="00973920">
              <w:rPr>
                <w:rFonts w:eastAsia="Calibri"/>
                <w:sz w:val="20"/>
                <w:szCs w:val="20"/>
              </w:rPr>
              <w:t>6</w:t>
            </w:r>
          </w:p>
        </w:tc>
      </w:tr>
      <w:tr w:rsidR="007D3837" w:rsidRPr="00973920" w14:paraId="7F55BA95" w14:textId="20998DE3" w:rsidTr="007D3837">
        <w:tc>
          <w:tcPr>
            <w:tcW w:w="2410" w:type="dxa"/>
            <w:shd w:val="clear" w:color="auto" w:fill="auto"/>
          </w:tcPr>
          <w:p w14:paraId="3B1FDB0F" w14:textId="77777777" w:rsidR="007D3837" w:rsidRPr="003F2F7B" w:rsidRDefault="007D3837" w:rsidP="005C47FF">
            <w:pPr>
              <w:rPr>
                <w:rFonts w:eastAsia="Calibri"/>
                <w:szCs w:val="28"/>
              </w:rPr>
            </w:pPr>
            <w:r>
              <w:rPr>
                <w:szCs w:val="28"/>
              </w:rPr>
              <w:t>1. Budžeta ieņēmumi:</w:t>
            </w:r>
          </w:p>
        </w:tc>
        <w:tc>
          <w:tcPr>
            <w:tcW w:w="1418" w:type="dxa"/>
            <w:shd w:val="clear" w:color="auto" w:fill="auto"/>
          </w:tcPr>
          <w:p w14:paraId="50238FF0" w14:textId="43646CF1" w:rsidR="007D3837" w:rsidRPr="00973920" w:rsidRDefault="009268B0" w:rsidP="00BE5ED0">
            <w:pPr>
              <w:ind w:right="96"/>
              <w:jc w:val="center"/>
              <w:rPr>
                <w:rFonts w:eastAsia="Calibri"/>
                <w:sz w:val="20"/>
                <w:szCs w:val="20"/>
              </w:rPr>
            </w:pPr>
            <w:r>
              <w:rPr>
                <w:rFonts w:eastAsia="Calibri"/>
                <w:sz w:val="20"/>
                <w:szCs w:val="20"/>
              </w:rPr>
              <w:t>0</w:t>
            </w:r>
          </w:p>
        </w:tc>
        <w:tc>
          <w:tcPr>
            <w:tcW w:w="1842" w:type="dxa"/>
            <w:shd w:val="clear" w:color="auto" w:fill="auto"/>
          </w:tcPr>
          <w:p w14:paraId="684E2B6D" w14:textId="11E61947" w:rsidR="007D3837" w:rsidRPr="00973920" w:rsidRDefault="009268B0" w:rsidP="00BE5ED0">
            <w:pPr>
              <w:ind w:right="96"/>
              <w:jc w:val="center"/>
              <w:rPr>
                <w:rFonts w:eastAsia="Calibri"/>
                <w:sz w:val="20"/>
                <w:szCs w:val="20"/>
              </w:rPr>
            </w:pPr>
            <w:r>
              <w:rPr>
                <w:rFonts w:eastAsia="Calibri"/>
                <w:sz w:val="20"/>
                <w:szCs w:val="20"/>
              </w:rPr>
              <w:t>0</w:t>
            </w:r>
          </w:p>
        </w:tc>
        <w:tc>
          <w:tcPr>
            <w:tcW w:w="1125" w:type="dxa"/>
            <w:shd w:val="clear" w:color="auto" w:fill="auto"/>
          </w:tcPr>
          <w:p w14:paraId="4FB78E0D" w14:textId="7DD75315" w:rsidR="007D3837" w:rsidRPr="00973920" w:rsidRDefault="009268B0" w:rsidP="00BE5ED0">
            <w:pPr>
              <w:ind w:right="96"/>
              <w:jc w:val="center"/>
              <w:rPr>
                <w:rFonts w:eastAsia="Calibri"/>
                <w:sz w:val="20"/>
                <w:szCs w:val="20"/>
              </w:rPr>
            </w:pPr>
            <w:r>
              <w:rPr>
                <w:rFonts w:eastAsia="Calibri"/>
                <w:sz w:val="20"/>
                <w:szCs w:val="20"/>
              </w:rPr>
              <w:t>0</w:t>
            </w:r>
          </w:p>
        </w:tc>
        <w:tc>
          <w:tcPr>
            <w:tcW w:w="1283" w:type="dxa"/>
            <w:gridSpan w:val="2"/>
            <w:shd w:val="clear" w:color="auto" w:fill="auto"/>
          </w:tcPr>
          <w:p w14:paraId="151A7EE7" w14:textId="3EA7CED0" w:rsidR="007D3837" w:rsidRPr="00973920" w:rsidRDefault="007D3837" w:rsidP="00BE5ED0">
            <w:pPr>
              <w:ind w:right="96"/>
              <w:jc w:val="center"/>
              <w:rPr>
                <w:rFonts w:eastAsia="Calibri"/>
                <w:sz w:val="20"/>
                <w:szCs w:val="20"/>
              </w:rPr>
            </w:pPr>
            <w:r w:rsidRPr="00973920">
              <w:rPr>
                <w:sz w:val="20"/>
                <w:szCs w:val="20"/>
              </w:rPr>
              <w:t>0</w:t>
            </w:r>
          </w:p>
        </w:tc>
        <w:tc>
          <w:tcPr>
            <w:tcW w:w="1420" w:type="dxa"/>
            <w:shd w:val="clear" w:color="auto" w:fill="auto"/>
          </w:tcPr>
          <w:p w14:paraId="3DE4FF41" w14:textId="489B5513" w:rsidR="007D3837" w:rsidRPr="00973920" w:rsidRDefault="009268B0" w:rsidP="00BE5ED0">
            <w:pPr>
              <w:ind w:right="96"/>
              <w:jc w:val="center"/>
              <w:rPr>
                <w:rFonts w:eastAsia="Calibri"/>
                <w:sz w:val="20"/>
                <w:szCs w:val="20"/>
              </w:rPr>
            </w:pPr>
            <w:r>
              <w:rPr>
                <w:rFonts w:eastAsia="Calibri"/>
                <w:sz w:val="20"/>
                <w:szCs w:val="20"/>
              </w:rPr>
              <w:t>0</w:t>
            </w:r>
          </w:p>
        </w:tc>
      </w:tr>
      <w:tr w:rsidR="009268B0" w:rsidRPr="00973920" w14:paraId="006E28EC" w14:textId="4459EB40" w:rsidTr="001C178A">
        <w:tc>
          <w:tcPr>
            <w:tcW w:w="2410" w:type="dxa"/>
            <w:shd w:val="clear" w:color="auto" w:fill="auto"/>
          </w:tcPr>
          <w:p w14:paraId="16E3E283" w14:textId="77777777" w:rsidR="009268B0" w:rsidRPr="003F2F7B" w:rsidRDefault="009268B0" w:rsidP="009268B0">
            <w:pPr>
              <w:rPr>
                <w:rFonts w:eastAsia="Calibri"/>
                <w:szCs w:val="28"/>
              </w:rPr>
            </w:pPr>
            <w:r>
              <w:rPr>
                <w:szCs w:val="28"/>
              </w:rPr>
              <w:t xml:space="preserve">1.1. valsts pamatbudžets, tai skaitā ieņēmumi no maksas </w:t>
            </w:r>
            <w:r>
              <w:rPr>
                <w:szCs w:val="28"/>
              </w:rPr>
              <w:lastRenderedPageBreak/>
              <w:t>pakalpojumiem un citi pašu ieņēmumi</w:t>
            </w:r>
          </w:p>
        </w:tc>
        <w:tc>
          <w:tcPr>
            <w:tcW w:w="1418" w:type="dxa"/>
            <w:shd w:val="clear" w:color="auto" w:fill="auto"/>
          </w:tcPr>
          <w:p w14:paraId="1A350E31" w14:textId="22384BD0" w:rsidR="009268B0" w:rsidRPr="00973920" w:rsidRDefault="009268B0" w:rsidP="009268B0">
            <w:pPr>
              <w:ind w:right="96"/>
              <w:jc w:val="center"/>
              <w:rPr>
                <w:rFonts w:eastAsia="Calibri"/>
                <w:sz w:val="20"/>
                <w:szCs w:val="20"/>
              </w:rPr>
            </w:pPr>
            <w:r>
              <w:rPr>
                <w:rFonts w:eastAsia="Calibri"/>
                <w:sz w:val="20"/>
                <w:szCs w:val="20"/>
              </w:rPr>
              <w:lastRenderedPageBreak/>
              <w:t>0</w:t>
            </w:r>
          </w:p>
        </w:tc>
        <w:tc>
          <w:tcPr>
            <w:tcW w:w="1842" w:type="dxa"/>
            <w:shd w:val="clear" w:color="auto" w:fill="auto"/>
          </w:tcPr>
          <w:p w14:paraId="5BDCEA15" w14:textId="5D27BB1D" w:rsidR="009268B0" w:rsidRPr="00973920" w:rsidRDefault="001918E2" w:rsidP="009268B0">
            <w:pPr>
              <w:ind w:right="96"/>
              <w:jc w:val="center"/>
              <w:rPr>
                <w:rFonts w:eastAsia="Calibri"/>
                <w:sz w:val="20"/>
                <w:szCs w:val="20"/>
              </w:rPr>
            </w:pPr>
            <w:r>
              <w:rPr>
                <w:rFonts w:eastAsia="Calibri"/>
                <w:sz w:val="20"/>
                <w:szCs w:val="20"/>
              </w:rPr>
              <w:t>143,02 (par nekustamā īpašuma īpašnieka maiņas reģistrāciju zemesgrāmatā)</w:t>
            </w:r>
          </w:p>
        </w:tc>
        <w:tc>
          <w:tcPr>
            <w:tcW w:w="1134" w:type="dxa"/>
            <w:gridSpan w:val="2"/>
            <w:shd w:val="clear" w:color="auto" w:fill="auto"/>
          </w:tcPr>
          <w:p w14:paraId="620235A5" w14:textId="64811F90" w:rsidR="009268B0" w:rsidRPr="00973920" w:rsidRDefault="009268B0" w:rsidP="009268B0">
            <w:pPr>
              <w:ind w:right="96"/>
              <w:jc w:val="center"/>
              <w:rPr>
                <w:rFonts w:eastAsia="Calibri"/>
                <w:sz w:val="20"/>
                <w:szCs w:val="20"/>
              </w:rPr>
            </w:pPr>
            <w:r>
              <w:rPr>
                <w:rFonts w:eastAsia="Calibri"/>
                <w:sz w:val="20"/>
                <w:szCs w:val="20"/>
              </w:rPr>
              <w:t>0</w:t>
            </w:r>
          </w:p>
        </w:tc>
        <w:tc>
          <w:tcPr>
            <w:tcW w:w="1274" w:type="dxa"/>
            <w:shd w:val="clear" w:color="auto" w:fill="auto"/>
          </w:tcPr>
          <w:p w14:paraId="6D35FE4C" w14:textId="7523A92F" w:rsidR="009268B0" w:rsidRPr="00973920" w:rsidRDefault="009268B0" w:rsidP="009268B0">
            <w:pPr>
              <w:ind w:right="96"/>
              <w:jc w:val="center"/>
              <w:rPr>
                <w:rFonts w:eastAsia="Calibri"/>
                <w:sz w:val="20"/>
                <w:szCs w:val="20"/>
              </w:rPr>
            </w:pPr>
            <w:r w:rsidRPr="00973920">
              <w:rPr>
                <w:sz w:val="20"/>
                <w:szCs w:val="20"/>
              </w:rPr>
              <w:t>0</w:t>
            </w:r>
          </w:p>
        </w:tc>
        <w:tc>
          <w:tcPr>
            <w:tcW w:w="1420" w:type="dxa"/>
            <w:shd w:val="clear" w:color="auto" w:fill="auto"/>
          </w:tcPr>
          <w:p w14:paraId="48A2BD48" w14:textId="741E72E5" w:rsidR="009268B0" w:rsidRPr="00973920" w:rsidRDefault="009268B0" w:rsidP="009268B0">
            <w:pPr>
              <w:ind w:right="96"/>
              <w:rPr>
                <w:rFonts w:eastAsia="Calibri"/>
                <w:sz w:val="20"/>
                <w:szCs w:val="20"/>
              </w:rPr>
            </w:pPr>
            <w:r>
              <w:rPr>
                <w:rFonts w:eastAsia="Calibri"/>
                <w:sz w:val="20"/>
                <w:szCs w:val="20"/>
              </w:rPr>
              <w:t>0</w:t>
            </w:r>
          </w:p>
        </w:tc>
      </w:tr>
      <w:tr w:rsidR="009268B0" w:rsidRPr="00973920" w14:paraId="74405A2B" w14:textId="39F27B60" w:rsidTr="001C178A">
        <w:tc>
          <w:tcPr>
            <w:tcW w:w="2410" w:type="dxa"/>
            <w:shd w:val="clear" w:color="auto" w:fill="auto"/>
          </w:tcPr>
          <w:p w14:paraId="1D24A547" w14:textId="77777777" w:rsidR="009268B0" w:rsidRPr="003F2F7B" w:rsidRDefault="009268B0" w:rsidP="009268B0">
            <w:pPr>
              <w:rPr>
                <w:rFonts w:eastAsia="Calibri"/>
                <w:szCs w:val="28"/>
              </w:rPr>
            </w:pPr>
            <w:r>
              <w:rPr>
                <w:szCs w:val="28"/>
              </w:rPr>
              <w:t>1.2. valsts speciālais budžets</w:t>
            </w:r>
          </w:p>
        </w:tc>
        <w:tc>
          <w:tcPr>
            <w:tcW w:w="1418" w:type="dxa"/>
            <w:shd w:val="clear" w:color="auto" w:fill="auto"/>
          </w:tcPr>
          <w:p w14:paraId="21E54979" w14:textId="05C92F68" w:rsidR="009268B0" w:rsidRPr="00973920" w:rsidRDefault="009268B0" w:rsidP="009268B0">
            <w:pPr>
              <w:ind w:left="113" w:right="96"/>
              <w:jc w:val="center"/>
              <w:rPr>
                <w:rFonts w:eastAsia="Calibri"/>
                <w:sz w:val="20"/>
                <w:szCs w:val="20"/>
              </w:rPr>
            </w:pPr>
            <w:r>
              <w:rPr>
                <w:rFonts w:eastAsia="Calibri"/>
                <w:sz w:val="20"/>
                <w:szCs w:val="20"/>
              </w:rPr>
              <w:t>0</w:t>
            </w:r>
          </w:p>
        </w:tc>
        <w:tc>
          <w:tcPr>
            <w:tcW w:w="1842" w:type="dxa"/>
            <w:shd w:val="clear" w:color="auto" w:fill="auto"/>
          </w:tcPr>
          <w:p w14:paraId="35E0C5EE" w14:textId="122C51C5" w:rsidR="009268B0" w:rsidRPr="00973920" w:rsidRDefault="009268B0" w:rsidP="009268B0">
            <w:pPr>
              <w:ind w:left="113" w:right="96"/>
              <w:jc w:val="center"/>
              <w:rPr>
                <w:rFonts w:eastAsia="Calibri"/>
                <w:sz w:val="20"/>
                <w:szCs w:val="20"/>
              </w:rPr>
            </w:pPr>
            <w:r>
              <w:rPr>
                <w:rFonts w:eastAsia="Calibri"/>
                <w:sz w:val="20"/>
                <w:szCs w:val="20"/>
              </w:rPr>
              <w:t>0</w:t>
            </w:r>
          </w:p>
        </w:tc>
        <w:tc>
          <w:tcPr>
            <w:tcW w:w="1134" w:type="dxa"/>
            <w:gridSpan w:val="2"/>
            <w:shd w:val="clear" w:color="auto" w:fill="auto"/>
          </w:tcPr>
          <w:p w14:paraId="0D5A0A06" w14:textId="4949B3C1" w:rsidR="009268B0" w:rsidRPr="00973920" w:rsidRDefault="009268B0" w:rsidP="009268B0">
            <w:pPr>
              <w:ind w:left="113" w:right="96"/>
              <w:jc w:val="center"/>
              <w:rPr>
                <w:rFonts w:eastAsia="Calibri"/>
                <w:sz w:val="20"/>
                <w:szCs w:val="20"/>
              </w:rPr>
            </w:pPr>
            <w:r>
              <w:rPr>
                <w:rFonts w:eastAsia="Calibri"/>
                <w:sz w:val="20"/>
                <w:szCs w:val="20"/>
              </w:rPr>
              <w:t>0</w:t>
            </w:r>
          </w:p>
        </w:tc>
        <w:tc>
          <w:tcPr>
            <w:tcW w:w="1274" w:type="dxa"/>
            <w:shd w:val="clear" w:color="auto" w:fill="auto"/>
          </w:tcPr>
          <w:p w14:paraId="557B4A65" w14:textId="2B81CE01" w:rsidR="009268B0" w:rsidRPr="00973920" w:rsidRDefault="009268B0" w:rsidP="009268B0">
            <w:pPr>
              <w:ind w:left="113" w:right="96"/>
              <w:jc w:val="center"/>
              <w:rPr>
                <w:rFonts w:eastAsia="Calibri"/>
                <w:sz w:val="20"/>
                <w:szCs w:val="20"/>
              </w:rPr>
            </w:pPr>
            <w:r w:rsidRPr="00973920">
              <w:rPr>
                <w:sz w:val="20"/>
                <w:szCs w:val="20"/>
              </w:rPr>
              <w:t>0</w:t>
            </w:r>
          </w:p>
        </w:tc>
        <w:tc>
          <w:tcPr>
            <w:tcW w:w="1420" w:type="dxa"/>
            <w:shd w:val="clear" w:color="auto" w:fill="auto"/>
          </w:tcPr>
          <w:p w14:paraId="2673F05D" w14:textId="2DC8BC81" w:rsidR="009268B0" w:rsidRPr="00973920" w:rsidRDefault="009268B0" w:rsidP="009268B0">
            <w:pPr>
              <w:ind w:left="113" w:right="96"/>
              <w:jc w:val="center"/>
              <w:rPr>
                <w:rFonts w:eastAsia="Calibri"/>
                <w:sz w:val="20"/>
                <w:szCs w:val="20"/>
              </w:rPr>
            </w:pPr>
            <w:r>
              <w:rPr>
                <w:rFonts w:eastAsia="Calibri"/>
                <w:sz w:val="20"/>
                <w:szCs w:val="20"/>
              </w:rPr>
              <w:t>0</w:t>
            </w:r>
          </w:p>
        </w:tc>
      </w:tr>
      <w:tr w:rsidR="009268B0" w:rsidRPr="00973920" w14:paraId="540BEEDD" w14:textId="4F66A3B9" w:rsidTr="001C178A">
        <w:tc>
          <w:tcPr>
            <w:tcW w:w="2410" w:type="dxa"/>
            <w:shd w:val="clear" w:color="auto" w:fill="auto"/>
          </w:tcPr>
          <w:p w14:paraId="63D01672" w14:textId="77777777" w:rsidR="009268B0" w:rsidRPr="003F2F7B" w:rsidRDefault="009268B0" w:rsidP="009268B0">
            <w:pPr>
              <w:rPr>
                <w:rFonts w:eastAsia="Calibri"/>
                <w:szCs w:val="28"/>
              </w:rPr>
            </w:pPr>
            <w:r>
              <w:rPr>
                <w:szCs w:val="28"/>
              </w:rPr>
              <w:t>1.3. pašvaldību budžets</w:t>
            </w:r>
          </w:p>
        </w:tc>
        <w:tc>
          <w:tcPr>
            <w:tcW w:w="1418" w:type="dxa"/>
            <w:shd w:val="clear" w:color="auto" w:fill="auto"/>
          </w:tcPr>
          <w:p w14:paraId="40FA0E86" w14:textId="5BF110BE" w:rsidR="009268B0" w:rsidRPr="00973920" w:rsidRDefault="009268B0" w:rsidP="009268B0">
            <w:pPr>
              <w:ind w:left="113" w:right="96"/>
              <w:jc w:val="center"/>
              <w:rPr>
                <w:rFonts w:eastAsia="Calibri"/>
                <w:sz w:val="20"/>
                <w:szCs w:val="20"/>
              </w:rPr>
            </w:pPr>
            <w:r w:rsidRPr="00973920">
              <w:rPr>
                <w:rFonts w:eastAsia="Calibri"/>
                <w:sz w:val="20"/>
                <w:szCs w:val="20"/>
              </w:rPr>
              <w:t>0</w:t>
            </w:r>
          </w:p>
        </w:tc>
        <w:tc>
          <w:tcPr>
            <w:tcW w:w="1842" w:type="dxa"/>
            <w:shd w:val="clear" w:color="auto" w:fill="auto"/>
          </w:tcPr>
          <w:p w14:paraId="3AD985C2" w14:textId="7037775B" w:rsidR="009268B0" w:rsidRPr="00973920" w:rsidRDefault="009268B0" w:rsidP="009268B0">
            <w:pPr>
              <w:ind w:left="113" w:right="96"/>
              <w:jc w:val="center"/>
              <w:rPr>
                <w:rFonts w:eastAsia="Calibri"/>
                <w:sz w:val="20"/>
                <w:szCs w:val="20"/>
              </w:rPr>
            </w:pPr>
            <w:r w:rsidRPr="00973920">
              <w:rPr>
                <w:rFonts w:eastAsia="Calibri"/>
                <w:sz w:val="20"/>
                <w:szCs w:val="20"/>
              </w:rPr>
              <w:t>0</w:t>
            </w:r>
          </w:p>
        </w:tc>
        <w:tc>
          <w:tcPr>
            <w:tcW w:w="1134" w:type="dxa"/>
            <w:gridSpan w:val="2"/>
            <w:shd w:val="clear" w:color="auto" w:fill="auto"/>
          </w:tcPr>
          <w:p w14:paraId="378C3D19" w14:textId="1AEADCC4" w:rsidR="009268B0" w:rsidRPr="00973920" w:rsidRDefault="009268B0" w:rsidP="009268B0">
            <w:pPr>
              <w:ind w:left="113" w:right="96"/>
              <w:jc w:val="center"/>
              <w:rPr>
                <w:rFonts w:eastAsia="Calibri"/>
                <w:sz w:val="20"/>
                <w:szCs w:val="20"/>
              </w:rPr>
            </w:pPr>
            <w:r w:rsidRPr="00973920">
              <w:rPr>
                <w:rFonts w:eastAsia="Calibri"/>
                <w:sz w:val="20"/>
                <w:szCs w:val="20"/>
              </w:rPr>
              <w:t>0</w:t>
            </w:r>
          </w:p>
        </w:tc>
        <w:tc>
          <w:tcPr>
            <w:tcW w:w="1274" w:type="dxa"/>
            <w:shd w:val="clear" w:color="auto" w:fill="auto"/>
          </w:tcPr>
          <w:p w14:paraId="73243BC0" w14:textId="3F2404AC" w:rsidR="009268B0" w:rsidRPr="00973920" w:rsidRDefault="009268B0" w:rsidP="009268B0">
            <w:pPr>
              <w:ind w:left="113" w:right="96"/>
              <w:jc w:val="center"/>
              <w:rPr>
                <w:rFonts w:eastAsia="Calibri"/>
                <w:sz w:val="20"/>
                <w:szCs w:val="20"/>
              </w:rPr>
            </w:pPr>
            <w:r w:rsidRPr="00973920">
              <w:rPr>
                <w:rFonts w:eastAsia="Calibri"/>
                <w:sz w:val="20"/>
                <w:szCs w:val="20"/>
              </w:rPr>
              <w:t>0</w:t>
            </w:r>
          </w:p>
        </w:tc>
        <w:tc>
          <w:tcPr>
            <w:tcW w:w="1420" w:type="dxa"/>
            <w:shd w:val="clear" w:color="auto" w:fill="auto"/>
          </w:tcPr>
          <w:p w14:paraId="2FA3CCBF" w14:textId="63D42089" w:rsidR="009268B0" w:rsidRPr="00973920" w:rsidRDefault="009268B0" w:rsidP="009268B0">
            <w:pPr>
              <w:ind w:left="113" w:right="96"/>
              <w:jc w:val="center"/>
              <w:rPr>
                <w:rFonts w:eastAsia="Calibri"/>
                <w:sz w:val="20"/>
                <w:szCs w:val="20"/>
              </w:rPr>
            </w:pPr>
            <w:r w:rsidRPr="00973920">
              <w:rPr>
                <w:rFonts w:eastAsia="Calibri"/>
                <w:sz w:val="20"/>
                <w:szCs w:val="20"/>
              </w:rPr>
              <w:t>0</w:t>
            </w:r>
          </w:p>
        </w:tc>
      </w:tr>
      <w:tr w:rsidR="009268B0" w:rsidRPr="00973920" w14:paraId="1A69AF9A" w14:textId="4DEDC59F" w:rsidTr="001C178A">
        <w:tc>
          <w:tcPr>
            <w:tcW w:w="2410" w:type="dxa"/>
            <w:shd w:val="clear" w:color="auto" w:fill="auto"/>
          </w:tcPr>
          <w:p w14:paraId="68D7795C" w14:textId="77777777" w:rsidR="009268B0" w:rsidRPr="003F2F7B" w:rsidRDefault="009268B0" w:rsidP="009268B0">
            <w:pPr>
              <w:rPr>
                <w:rFonts w:eastAsia="Calibri"/>
                <w:szCs w:val="28"/>
              </w:rPr>
            </w:pPr>
            <w:r>
              <w:rPr>
                <w:szCs w:val="28"/>
              </w:rPr>
              <w:t>2. Budžeta izdevumi:</w:t>
            </w:r>
          </w:p>
        </w:tc>
        <w:tc>
          <w:tcPr>
            <w:tcW w:w="1418" w:type="dxa"/>
            <w:shd w:val="clear" w:color="auto" w:fill="auto"/>
          </w:tcPr>
          <w:p w14:paraId="2D57BFE6" w14:textId="77777777" w:rsidR="009268B0" w:rsidRPr="00973920" w:rsidRDefault="009268B0" w:rsidP="009268B0">
            <w:pPr>
              <w:ind w:left="113" w:right="96"/>
              <w:jc w:val="center"/>
              <w:rPr>
                <w:rFonts w:eastAsia="Calibri"/>
                <w:sz w:val="20"/>
                <w:szCs w:val="20"/>
              </w:rPr>
            </w:pPr>
            <w:r w:rsidRPr="00973920">
              <w:rPr>
                <w:rFonts w:eastAsia="Calibri"/>
                <w:sz w:val="20"/>
                <w:szCs w:val="20"/>
              </w:rPr>
              <w:t>0</w:t>
            </w:r>
          </w:p>
        </w:tc>
        <w:tc>
          <w:tcPr>
            <w:tcW w:w="1842" w:type="dxa"/>
            <w:shd w:val="clear" w:color="auto" w:fill="auto"/>
          </w:tcPr>
          <w:p w14:paraId="1EF627D0" w14:textId="0FF8298C" w:rsidR="009268B0" w:rsidRPr="00973920" w:rsidRDefault="009268B0" w:rsidP="009268B0">
            <w:pPr>
              <w:ind w:left="113" w:right="96"/>
              <w:jc w:val="center"/>
              <w:rPr>
                <w:rFonts w:eastAsia="Calibri"/>
                <w:sz w:val="20"/>
                <w:szCs w:val="20"/>
              </w:rPr>
            </w:pPr>
          </w:p>
        </w:tc>
        <w:tc>
          <w:tcPr>
            <w:tcW w:w="1134" w:type="dxa"/>
            <w:gridSpan w:val="2"/>
            <w:shd w:val="clear" w:color="auto" w:fill="auto"/>
          </w:tcPr>
          <w:p w14:paraId="46223A60" w14:textId="13EDA596" w:rsidR="009268B0" w:rsidRPr="00973920" w:rsidRDefault="009268B0" w:rsidP="009268B0">
            <w:pPr>
              <w:ind w:right="96"/>
              <w:jc w:val="center"/>
              <w:rPr>
                <w:rFonts w:eastAsia="Calibri"/>
                <w:sz w:val="20"/>
                <w:szCs w:val="20"/>
              </w:rPr>
            </w:pPr>
          </w:p>
        </w:tc>
        <w:tc>
          <w:tcPr>
            <w:tcW w:w="1274" w:type="dxa"/>
            <w:shd w:val="clear" w:color="auto" w:fill="auto"/>
          </w:tcPr>
          <w:p w14:paraId="288215F9" w14:textId="0B11D4ED" w:rsidR="009268B0" w:rsidRPr="00973920" w:rsidRDefault="009268B0" w:rsidP="009268B0">
            <w:pPr>
              <w:ind w:right="96"/>
              <w:jc w:val="center"/>
              <w:rPr>
                <w:rFonts w:eastAsia="Calibri"/>
                <w:sz w:val="20"/>
                <w:szCs w:val="20"/>
              </w:rPr>
            </w:pPr>
          </w:p>
        </w:tc>
        <w:tc>
          <w:tcPr>
            <w:tcW w:w="1420" w:type="dxa"/>
            <w:shd w:val="clear" w:color="auto" w:fill="auto"/>
          </w:tcPr>
          <w:p w14:paraId="35C346B2" w14:textId="77777777" w:rsidR="009268B0" w:rsidRPr="00973920" w:rsidRDefault="009268B0" w:rsidP="009268B0">
            <w:pPr>
              <w:ind w:right="96"/>
              <w:jc w:val="center"/>
              <w:rPr>
                <w:rFonts w:eastAsia="Calibri"/>
                <w:sz w:val="20"/>
                <w:szCs w:val="20"/>
              </w:rPr>
            </w:pPr>
          </w:p>
        </w:tc>
      </w:tr>
      <w:tr w:rsidR="00385DE5" w:rsidRPr="00973920" w14:paraId="07579C99" w14:textId="36E63B79" w:rsidTr="001C178A">
        <w:tc>
          <w:tcPr>
            <w:tcW w:w="2410" w:type="dxa"/>
            <w:shd w:val="clear" w:color="auto" w:fill="auto"/>
          </w:tcPr>
          <w:p w14:paraId="638260A3" w14:textId="77777777" w:rsidR="00385DE5" w:rsidRPr="003F2F7B" w:rsidRDefault="00385DE5" w:rsidP="00385DE5">
            <w:pPr>
              <w:rPr>
                <w:rFonts w:eastAsia="Calibri"/>
                <w:szCs w:val="28"/>
              </w:rPr>
            </w:pPr>
            <w:r>
              <w:rPr>
                <w:szCs w:val="28"/>
              </w:rPr>
              <w:t>2.1. valsts pamatbudžets</w:t>
            </w:r>
          </w:p>
        </w:tc>
        <w:tc>
          <w:tcPr>
            <w:tcW w:w="1418" w:type="dxa"/>
            <w:shd w:val="clear" w:color="auto" w:fill="auto"/>
          </w:tcPr>
          <w:p w14:paraId="1BC2482D" w14:textId="368EE975" w:rsidR="00385DE5" w:rsidRPr="00973920" w:rsidRDefault="00385DE5" w:rsidP="00385DE5">
            <w:pPr>
              <w:ind w:left="113" w:right="96"/>
              <w:jc w:val="center"/>
              <w:rPr>
                <w:rFonts w:eastAsia="Calibri"/>
                <w:sz w:val="20"/>
                <w:szCs w:val="20"/>
              </w:rPr>
            </w:pPr>
            <w:r w:rsidRPr="00973920">
              <w:rPr>
                <w:rFonts w:eastAsia="Calibri"/>
                <w:sz w:val="20"/>
                <w:szCs w:val="20"/>
              </w:rPr>
              <w:t>0</w:t>
            </w:r>
          </w:p>
        </w:tc>
        <w:tc>
          <w:tcPr>
            <w:tcW w:w="1842" w:type="dxa"/>
            <w:shd w:val="clear" w:color="auto" w:fill="auto"/>
          </w:tcPr>
          <w:p w14:paraId="6311BD6C" w14:textId="77777777" w:rsidR="00385DE5" w:rsidRDefault="00385DE5" w:rsidP="00385DE5">
            <w:pPr>
              <w:ind w:left="113" w:right="96"/>
              <w:rPr>
                <w:rFonts w:eastAsia="Calibri"/>
                <w:sz w:val="20"/>
                <w:szCs w:val="20"/>
              </w:rPr>
            </w:pPr>
            <w:r w:rsidRPr="00F2212F">
              <w:rPr>
                <w:rFonts w:eastAsia="Calibri"/>
                <w:sz w:val="20"/>
                <w:szCs w:val="20"/>
              </w:rPr>
              <w:t>1.</w:t>
            </w:r>
            <w:r>
              <w:rPr>
                <w:rFonts w:eastAsia="Calibri"/>
                <w:sz w:val="20"/>
                <w:szCs w:val="20"/>
              </w:rPr>
              <w:t xml:space="preserve"> </w:t>
            </w:r>
            <w:r w:rsidRPr="00F2212F">
              <w:rPr>
                <w:rFonts w:eastAsia="Calibri"/>
                <w:sz w:val="20"/>
                <w:szCs w:val="20"/>
              </w:rPr>
              <w:t xml:space="preserve">Nekustamā īpašuma nodoklis </w:t>
            </w:r>
          </w:p>
          <w:p w14:paraId="1D6E20B1" w14:textId="155A4572" w:rsidR="00385DE5" w:rsidRPr="00973920" w:rsidRDefault="00385DE5" w:rsidP="00385DE5">
            <w:pPr>
              <w:ind w:left="113" w:right="96"/>
              <w:rPr>
                <w:rFonts w:eastAsia="Calibri"/>
                <w:sz w:val="20"/>
                <w:szCs w:val="20"/>
              </w:rPr>
            </w:pPr>
            <w:r>
              <w:rPr>
                <w:rFonts w:eastAsia="Calibri"/>
                <w:sz w:val="20"/>
                <w:szCs w:val="20"/>
              </w:rPr>
              <w:t xml:space="preserve">2. </w:t>
            </w:r>
            <w:r w:rsidRPr="00474CE4">
              <w:rPr>
                <w:rFonts w:eastAsia="Calibri"/>
                <w:sz w:val="20"/>
                <w:szCs w:val="20"/>
                <w:u w:val="single"/>
              </w:rPr>
              <w:t>143,02</w:t>
            </w:r>
            <w:r w:rsidR="0004557E">
              <w:rPr>
                <w:rFonts w:eastAsia="Calibri"/>
                <w:sz w:val="20"/>
                <w:szCs w:val="20"/>
                <w:u w:val="single"/>
              </w:rPr>
              <w:t xml:space="preserve"> </w:t>
            </w:r>
            <w:r>
              <w:rPr>
                <w:rFonts w:eastAsia="Calibri"/>
                <w:sz w:val="20"/>
                <w:szCs w:val="20"/>
              </w:rPr>
              <w:t>(par nekustamā īpašuma īpašnieka maiņas reģistrāciju zemesgrāmatā)</w:t>
            </w:r>
          </w:p>
        </w:tc>
        <w:tc>
          <w:tcPr>
            <w:tcW w:w="1134" w:type="dxa"/>
            <w:gridSpan w:val="2"/>
            <w:shd w:val="clear" w:color="auto" w:fill="auto"/>
          </w:tcPr>
          <w:p w14:paraId="3BA54721" w14:textId="45A28E22" w:rsidR="00385DE5" w:rsidRPr="00973920" w:rsidRDefault="00385DE5" w:rsidP="00385DE5">
            <w:pPr>
              <w:ind w:right="96"/>
              <w:jc w:val="center"/>
              <w:rPr>
                <w:rFonts w:eastAsia="Calibri"/>
                <w:sz w:val="20"/>
                <w:szCs w:val="20"/>
              </w:rPr>
            </w:pPr>
            <w:r w:rsidRPr="00973920">
              <w:rPr>
                <w:rFonts w:eastAsia="Calibri"/>
                <w:sz w:val="20"/>
                <w:szCs w:val="20"/>
              </w:rPr>
              <w:t>64,40</w:t>
            </w:r>
          </w:p>
        </w:tc>
        <w:tc>
          <w:tcPr>
            <w:tcW w:w="1274" w:type="dxa"/>
            <w:shd w:val="clear" w:color="auto" w:fill="auto"/>
          </w:tcPr>
          <w:p w14:paraId="6E04086A" w14:textId="6CC9CF19" w:rsidR="00385DE5" w:rsidRPr="00973920" w:rsidRDefault="00385DE5" w:rsidP="00385DE5">
            <w:pPr>
              <w:ind w:right="96"/>
              <w:jc w:val="center"/>
              <w:rPr>
                <w:rFonts w:eastAsia="Calibri"/>
                <w:sz w:val="20"/>
                <w:szCs w:val="20"/>
              </w:rPr>
            </w:pPr>
            <w:r w:rsidRPr="00973920">
              <w:rPr>
                <w:rFonts w:eastAsia="Calibri"/>
                <w:sz w:val="20"/>
                <w:szCs w:val="20"/>
              </w:rPr>
              <w:t>64,40</w:t>
            </w:r>
          </w:p>
        </w:tc>
        <w:tc>
          <w:tcPr>
            <w:tcW w:w="1420" w:type="dxa"/>
            <w:shd w:val="clear" w:color="auto" w:fill="auto"/>
          </w:tcPr>
          <w:p w14:paraId="3984561E" w14:textId="0BDB07E0" w:rsidR="00385DE5" w:rsidRPr="00973920" w:rsidRDefault="00385DE5" w:rsidP="00385DE5">
            <w:pPr>
              <w:ind w:right="96"/>
              <w:jc w:val="center"/>
              <w:rPr>
                <w:rFonts w:eastAsia="Calibri"/>
                <w:sz w:val="20"/>
                <w:szCs w:val="20"/>
              </w:rPr>
            </w:pPr>
            <w:r w:rsidRPr="00973920">
              <w:rPr>
                <w:rFonts w:eastAsia="Calibri"/>
                <w:sz w:val="20"/>
                <w:szCs w:val="20"/>
              </w:rPr>
              <w:t>64,40</w:t>
            </w:r>
          </w:p>
        </w:tc>
      </w:tr>
      <w:tr w:rsidR="00385DE5" w:rsidRPr="00973920" w14:paraId="1200AC3A" w14:textId="2FC881C3" w:rsidTr="001C178A">
        <w:tc>
          <w:tcPr>
            <w:tcW w:w="2410" w:type="dxa"/>
            <w:shd w:val="clear" w:color="auto" w:fill="auto"/>
          </w:tcPr>
          <w:p w14:paraId="471F608A" w14:textId="77777777" w:rsidR="00385DE5" w:rsidRPr="003F2F7B" w:rsidRDefault="00385DE5" w:rsidP="00385DE5">
            <w:pPr>
              <w:rPr>
                <w:rFonts w:eastAsia="Calibri"/>
                <w:szCs w:val="28"/>
              </w:rPr>
            </w:pPr>
            <w:r>
              <w:rPr>
                <w:szCs w:val="28"/>
              </w:rPr>
              <w:t>2.2. valsts speciālais budžets</w:t>
            </w:r>
          </w:p>
        </w:tc>
        <w:tc>
          <w:tcPr>
            <w:tcW w:w="1418" w:type="dxa"/>
            <w:shd w:val="clear" w:color="auto" w:fill="auto"/>
          </w:tcPr>
          <w:p w14:paraId="19C76880" w14:textId="22B0BE59" w:rsidR="00385DE5" w:rsidRPr="00973920" w:rsidRDefault="00385DE5" w:rsidP="00385DE5">
            <w:pPr>
              <w:ind w:left="113" w:right="96"/>
              <w:jc w:val="center"/>
              <w:rPr>
                <w:rFonts w:eastAsia="Calibri"/>
                <w:sz w:val="20"/>
                <w:szCs w:val="20"/>
              </w:rPr>
            </w:pPr>
            <w:r>
              <w:rPr>
                <w:rFonts w:eastAsia="Calibri"/>
                <w:sz w:val="20"/>
                <w:szCs w:val="20"/>
              </w:rPr>
              <w:t>0</w:t>
            </w:r>
          </w:p>
        </w:tc>
        <w:tc>
          <w:tcPr>
            <w:tcW w:w="1842" w:type="dxa"/>
            <w:shd w:val="clear" w:color="auto" w:fill="auto"/>
          </w:tcPr>
          <w:p w14:paraId="1C8589CD" w14:textId="71831B0B" w:rsidR="00385DE5" w:rsidRPr="00973920" w:rsidRDefault="00385DE5" w:rsidP="00385DE5">
            <w:pPr>
              <w:ind w:left="113" w:right="96"/>
              <w:jc w:val="center"/>
              <w:rPr>
                <w:rFonts w:eastAsia="Calibri"/>
                <w:sz w:val="20"/>
                <w:szCs w:val="20"/>
              </w:rPr>
            </w:pPr>
            <w:r>
              <w:rPr>
                <w:rFonts w:eastAsia="Calibri"/>
                <w:sz w:val="20"/>
                <w:szCs w:val="20"/>
              </w:rPr>
              <w:t>0</w:t>
            </w:r>
          </w:p>
        </w:tc>
        <w:tc>
          <w:tcPr>
            <w:tcW w:w="1134" w:type="dxa"/>
            <w:gridSpan w:val="2"/>
            <w:shd w:val="clear" w:color="auto" w:fill="auto"/>
          </w:tcPr>
          <w:p w14:paraId="11F2C6F0" w14:textId="4DB17679" w:rsidR="00385DE5" w:rsidRPr="00973920" w:rsidRDefault="00385DE5" w:rsidP="00385DE5">
            <w:pPr>
              <w:rPr>
                <w:rFonts w:eastAsia="Calibri"/>
                <w:sz w:val="20"/>
                <w:szCs w:val="20"/>
              </w:rPr>
            </w:pPr>
            <w:r>
              <w:rPr>
                <w:rFonts w:eastAsia="Calibri"/>
                <w:sz w:val="20"/>
                <w:szCs w:val="20"/>
              </w:rPr>
              <w:t>0</w:t>
            </w:r>
          </w:p>
        </w:tc>
        <w:tc>
          <w:tcPr>
            <w:tcW w:w="1274" w:type="dxa"/>
            <w:shd w:val="clear" w:color="auto" w:fill="auto"/>
          </w:tcPr>
          <w:p w14:paraId="1EE1C01F" w14:textId="2C1AD501" w:rsidR="00385DE5" w:rsidRPr="00973920" w:rsidRDefault="00385DE5" w:rsidP="00385DE5">
            <w:pPr>
              <w:ind w:right="96"/>
              <w:jc w:val="center"/>
              <w:rPr>
                <w:rFonts w:eastAsia="Calibri"/>
                <w:sz w:val="20"/>
                <w:szCs w:val="20"/>
              </w:rPr>
            </w:pPr>
            <w:r w:rsidRPr="00973920">
              <w:rPr>
                <w:sz w:val="20"/>
                <w:szCs w:val="20"/>
              </w:rPr>
              <w:t>0</w:t>
            </w:r>
          </w:p>
        </w:tc>
        <w:tc>
          <w:tcPr>
            <w:tcW w:w="1420" w:type="dxa"/>
            <w:shd w:val="clear" w:color="auto" w:fill="auto"/>
          </w:tcPr>
          <w:p w14:paraId="3A26EB69" w14:textId="1C6A4110" w:rsidR="00385DE5" w:rsidRPr="00973920" w:rsidRDefault="00385DE5" w:rsidP="00385DE5">
            <w:pPr>
              <w:ind w:right="96"/>
              <w:jc w:val="center"/>
              <w:rPr>
                <w:rFonts w:eastAsia="Calibri"/>
                <w:sz w:val="20"/>
                <w:szCs w:val="20"/>
              </w:rPr>
            </w:pPr>
            <w:r>
              <w:rPr>
                <w:rFonts w:eastAsia="Calibri"/>
                <w:sz w:val="20"/>
                <w:szCs w:val="20"/>
              </w:rPr>
              <w:t>0</w:t>
            </w:r>
          </w:p>
        </w:tc>
      </w:tr>
      <w:tr w:rsidR="00385DE5" w:rsidRPr="00973920" w14:paraId="68FB4390" w14:textId="465D33B8" w:rsidTr="001C178A">
        <w:tc>
          <w:tcPr>
            <w:tcW w:w="2410" w:type="dxa"/>
            <w:shd w:val="clear" w:color="auto" w:fill="auto"/>
          </w:tcPr>
          <w:p w14:paraId="3EDBE99D" w14:textId="77777777" w:rsidR="00385DE5" w:rsidRPr="003F2F7B" w:rsidRDefault="00385DE5" w:rsidP="00385DE5">
            <w:pPr>
              <w:rPr>
                <w:rFonts w:eastAsia="Calibri"/>
                <w:szCs w:val="28"/>
              </w:rPr>
            </w:pPr>
            <w:r>
              <w:rPr>
                <w:szCs w:val="28"/>
              </w:rPr>
              <w:t>2.3. pašvaldību budžets</w:t>
            </w:r>
          </w:p>
        </w:tc>
        <w:tc>
          <w:tcPr>
            <w:tcW w:w="1418" w:type="dxa"/>
            <w:shd w:val="clear" w:color="auto" w:fill="auto"/>
          </w:tcPr>
          <w:p w14:paraId="159DFCE3" w14:textId="7DB52DF3" w:rsidR="00385DE5" w:rsidRPr="00973920" w:rsidRDefault="00385DE5" w:rsidP="00385DE5">
            <w:pPr>
              <w:ind w:left="113" w:right="96"/>
              <w:jc w:val="center"/>
              <w:rPr>
                <w:rFonts w:eastAsia="Calibri"/>
                <w:sz w:val="20"/>
                <w:szCs w:val="20"/>
              </w:rPr>
            </w:pPr>
            <w:r>
              <w:rPr>
                <w:rFonts w:eastAsia="Calibri"/>
                <w:sz w:val="20"/>
                <w:szCs w:val="20"/>
              </w:rPr>
              <w:t>0</w:t>
            </w:r>
          </w:p>
        </w:tc>
        <w:tc>
          <w:tcPr>
            <w:tcW w:w="1842" w:type="dxa"/>
            <w:shd w:val="clear" w:color="auto" w:fill="auto"/>
          </w:tcPr>
          <w:p w14:paraId="69D0319A" w14:textId="2AB0BADD" w:rsidR="00385DE5" w:rsidRPr="00973920" w:rsidRDefault="00385DE5" w:rsidP="00385DE5">
            <w:pPr>
              <w:ind w:left="113" w:right="96"/>
              <w:jc w:val="center"/>
              <w:rPr>
                <w:rFonts w:eastAsia="Calibri"/>
                <w:sz w:val="20"/>
                <w:szCs w:val="20"/>
              </w:rPr>
            </w:pPr>
            <w:r>
              <w:rPr>
                <w:rFonts w:eastAsia="Calibri"/>
                <w:sz w:val="20"/>
                <w:szCs w:val="20"/>
              </w:rPr>
              <w:t>0</w:t>
            </w:r>
          </w:p>
        </w:tc>
        <w:tc>
          <w:tcPr>
            <w:tcW w:w="1134" w:type="dxa"/>
            <w:gridSpan w:val="2"/>
            <w:shd w:val="clear" w:color="auto" w:fill="auto"/>
          </w:tcPr>
          <w:p w14:paraId="0AAB633B" w14:textId="58FD863A" w:rsidR="00385DE5" w:rsidRPr="00973920" w:rsidRDefault="00385DE5" w:rsidP="00385DE5">
            <w:pPr>
              <w:ind w:right="96"/>
              <w:jc w:val="center"/>
              <w:rPr>
                <w:rFonts w:eastAsia="Calibri"/>
                <w:sz w:val="20"/>
                <w:szCs w:val="20"/>
              </w:rPr>
            </w:pPr>
            <w:r>
              <w:rPr>
                <w:rFonts w:eastAsia="Calibri"/>
                <w:sz w:val="20"/>
                <w:szCs w:val="20"/>
              </w:rPr>
              <w:t>0</w:t>
            </w:r>
          </w:p>
        </w:tc>
        <w:tc>
          <w:tcPr>
            <w:tcW w:w="1274" w:type="dxa"/>
            <w:shd w:val="clear" w:color="auto" w:fill="auto"/>
          </w:tcPr>
          <w:p w14:paraId="5CE0E405" w14:textId="11134606" w:rsidR="00385DE5" w:rsidRPr="00973920" w:rsidRDefault="00385DE5" w:rsidP="00385DE5">
            <w:pPr>
              <w:ind w:right="96"/>
              <w:jc w:val="center"/>
              <w:rPr>
                <w:rFonts w:eastAsia="Calibri"/>
                <w:sz w:val="20"/>
                <w:szCs w:val="20"/>
              </w:rPr>
            </w:pPr>
            <w:r w:rsidRPr="00973920">
              <w:rPr>
                <w:sz w:val="20"/>
                <w:szCs w:val="20"/>
              </w:rPr>
              <w:t>0</w:t>
            </w:r>
          </w:p>
        </w:tc>
        <w:tc>
          <w:tcPr>
            <w:tcW w:w="1420" w:type="dxa"/>
            <w:shd w:val="clear" w:color="auto" w:fill="auto"/>
          </w:tcPr>
          <w:p w14:paraId="009603DF" w14:textId="2B721DB0" w:rsidR="00385DE5" w:rsidRPr="00973920" w:rsidRDefault="00385DE5" w:rsidP="00385DE5">
            <w:pPr>
              <w:ind w:right="96"/>
              <w:jc w:val="center"/>
              <w:rPr>
                <w:rFonts w:eastAsia="Calibri"/>
                <w:sz w:val="20"/>
                <w:szCs w:val="20"/>
              </w:rPr>
            </w:pPr>
            <w:r>
              <w:rPr>
                <w:rFonts w:eastAsia="Calibri"/>
                <w:sz w:val="20"/>
                <w:szCs w:val="20"/>
              </w:rPr>
              <w:t>0</w:t>
            </w:r>
          </w:p>
        </w:tc>
      </w:tr>
      <w:tr w:rsidR="00385DE5" w:rsidRPr="00973920" w14:paraId="6B4F464B" w14:textId="4C949417" w:rsidTr="001C178A">
        <w:tc>
          <w:tcPr>
            <w:tcW w:w="2410" w:type="dxa"/>
            <w:shd w:val="clear" w:color="auto" w:fill="auto"/>
          </w:tcPr>
          <w:p w14:paraId="0A5BE6DF" w14:textId="77777777" w:rsidR="00385DE5" w:rsidRPr="003F2F7B" w:rsidRDefault="00385DE5" w:rsidP="00385DE5">
            <w:pPr>
              <w:rPr>
                <w:rFonts w:eastAsia="Calibri"/>
                <w:szCs w:val="28"/>
              </w:rPr>
            </w:pPr>
            <w:r>
              <w:rPr>
                <w:szCs w:val="28"/>
              </w:rPr>
              <w:t>3. Finansiālā ietekme:</w:t>
            </w:r>
          </w:p>
        </w:tc>
        <w:tc>
          <w:tcPr>
            <w:tcW w:w="1418" w:type="dxa"/>
            <w:shd w:val="clear" w:color="auto" w:fill="auto"/>
          </w:tcPr>
          <w:p w14:paraId="02B4C0A6" w14:textId="20ABF329" w:rsidR="00385DE5" w:rsidRPr="00973920" w:rsidRDefault="006C1349" w:rsidP="00385DE5">
            <w:pPr>
              <w:ind w:left="113" w:right="96"/>
              <w:jc w:val="center"/>
              <w:rPr>
                <w:rFonts w:eastAsia="Calibri"/>
                <w:sz w:val="20"/>
                <w:szCs w:val="20"/>
              </w:rPr>
            </w:pPr>
            <w:r>
              <w:rPr>
                <w:sz w:val="20"/>
                <w:szCs w:val="20"/>
              </w:rPr>
              <w:t>0</w:t>
            </w:r>
          </w:p>
        </w:tc>
        <w:tc>
          <w:tcPr>
            <w:tcW w:w="1842" w:type="dxa"/>
            <w:shd w:val="clear" w:color="auto" w:fill="auto"/>
          </w:tcPr>
          <w:p w14:paraId="488C4023" w14:textId="0DAEB791" w:rsidR="00385DE5" w:rsidRPr="00973920" w:rsidRDefault="006C1349" w:rsidP="00385DE5">
            <w:pPr>
              <w:ind w:left="113" w:right="96"/>
              <w:jc w:val="center"/>
              <w:rPr>
                <w:rFonts w:eastAsia="Calibri"/>
                <w:sz w:val="20"/>
                <w:szCs w:val="20"/>
              </w:rPr>
            </w:pPr>
            <w:r>
              <w:rPr>
                <w:rFonts w:eastAsia="Calibri"/>
                <w:sz w:val="20"/>
                <w:szCs w:val="20"/>
              </w:rPr>
              <w:t>0</w:t>
            </w:r>
          </w:p>
        </w:tc>
        <w:tc>
          <w:tcPr>
            <w:tcW w:w="1134" w:type="dxa"/>
            <w:gridSpan w:val="2"/>
            <w:shd w:val="clear" w:color="auto" w:fill="auto"/>
          </w:tcPr>
          <w:p w14:paraId="63A8C510" w14:textId="4E0FA07A" w:rsidR="00385DE5" w:rsidRPr="00973920" w:rsidRDefault="00385DE5" w:rsidP="00385DE5">
            <w:pPr>
              <w:ind w:left="113" w:right="96"/>
              <w:jc w:val="center"/>
              <w:rPr>
                <w:rFonts w:eastAsia="Calibri"/>
                <w:sz w:val="20"/>
                <w:szCs w:val="20"/>
              </w:rPr>
            </w:pPr>
          </w:p>
        </w:tc>
        <w:tc>
          <w:tcPr>
            <w:tcW w:w="1274" w:type="dxa"/>
            <w:shd w:val="clear" w:color="auto" w:fill="auto"/>
          </w:tcPr>
          <w:p w14:paraId="2DDC18F9" w14:textId="1100B83D" w:rsidR="00385DE5" w:rsidRPr="00973920" w:rsidRDefault="00385DE5" w:rsidP="00385DE5">
            <w:pPr>
              <w:ind w:left="113" w:right="96"/>
              <w:jc w:val="center"/>
              <w:rPr>
                <w:rFonts w:eastAsia="Calibri"/>
                <w:sz w:val="20"/>
                <w:szCs w:val="20"/>
              </w:rPr>
            </w:pPr>
          </w:p>
        </w:tc>
        <w:tc>
          <w:tcPr>
            <w:tcW w:w="1420" w:type="dxa"/>
            <w:shd w:val="clear" w:color="auto" w:fill="auto"/>
          </w:tcPr>
          <w:p w14:paraId="7B0207E0" w14:textId="77777777" w:rsidR="00385DE5" w:rsidRPr="00973920" w:rsidRDefault="00385DE5" w:rsidP="00385DE5">
            <w:pPr>
              <w:ind w:left="113" w:right="96"/>
              <w:jc w:val="center"/>
              <w:rPr>
                <w:rFonts w:eastAsia="Calibri"/>
                <w:sz w:val="20"/>
                <w:szCs w:val="20"/>
              </w:rPr>
            </w:pPr>
          </w:p>
        </w:tc>
      </w:tr>
      <w:tr w:rsidR="00385DE5" w:rsidRPr="00973920" w14:paraId="07D3122E" w14:textId="151AF8E2" w:rsidTr="001C178A">
        <w:tc>
          <w:tcPr>
            <w:tcW w:w="2410" w:type="dxa"/>
            <w:shd w:val="clear" w:color="auto" w:fill="auto"/>
          </w:tcPr>
          <w:p w14:paraId="5B48889C" w14:textId="77777777" w:rsidR="00385DE5" w:rsidRPr="003F2F7B" w:rsidRDefault="00385DE5" w:rsidP="00385DE5">
            <w:pPr>
              <w:rPr>
                <w:rFonts w:eastAsia="Calibri"/>
                <w:szCs w:val="28"/>
              </w:rPr>
            </w:pPr>
            <w:r>
              <w:rPr>
                <w:szCs w:val="28"/>
              </w:rPr>
              <w:t>3.1. valsts pamatbudžets</w:t>
            </w:r>
          </w:p>
        </w:tc>
        <w:tc>
          <w:tcPr>
            <w:tcW w:w="1418" w:type="dxa"/>
            <w:shd w:val="clear" w:color="auto" w:fill="auto"/>
          </w:tcPr>
          <w:p w14:paraId="08AD9FAB" w14:textId="7F9C2091" w:rsidR="00385DE5" w:rsidRPr="00973920" w:rsidRDefault="006C1349" w:rsidP="00385DE5">
            <w:pPr>
              <w:ind w:left="113" w:right="96"/>
              <w:jc w:val="center"/>
              <w:rPr>
                <w:rFonts w:eastAsia="Calibri"/>
                <w:sz w:val="20"/>
                <w:szCs w:val="20"/>
              </w:rPr>
            </w:pPr>
            <w:r>
              <w:rPr>
                <w:sz w:val="20"/>
                <w:szCs w:val="20"/>
              </w:rPr>
              <w:t>0</w:t>
            </w:r>
          </w:p>
        </w:tc>
        <w:tc>
          <w:tcPr>
            <w:tcW w:w="1842" w:type="dxa"/>
            <w:shd w:val="clear" w:color="auto" w:fill="auto"/>
          </w:tcPr>
          <w:p w14:paraId="47638A14" w14:textId="02C4DEAA" w:rsidR="00385DE5" w:rsidRPr="00973920" w:rsidRDefault="006C1349" w:rsidP="00385DE5">
            <w:pPr>
              <w:ind w:left="113" w:right="96"/>
              <w:jc w:val="center"/>
              <w:rPr>
                <w:rFonts w:eastAsia="Calibri"/>
                <w:sz w:val="20"/>
                <w:szCs w:val="20"/>
              </w:rPr>
            </w:pPr>
            <w:r>
              <w:rPr>
                <w:rFonts w:eastAsia="Calibri"/>
                <w:sz w:val="20"/>
                <w:szCs w:val="20"/>
              </w:rPr>
              <w:t>0</w:t>
            </w:r>
          </w:p>
        </w:tc>
        <w:tc>
          <w:tcPr>
            <w:tcW w:w="1134" w:type="dxa"/>
            <w:gridSpan w:val="2"/>
            <w:shd w:val="clear" w:color="auto" w:fill="auto"/>
          </w:tcPr>
          <w:p w14:paraId="1ADE4B57" w14:textId="559EE0F2" w:rsidR="00385DE5" w:rsidRPr="00973920" w:rsidRDefault="006C1349" w:rsidP="00385DE5">
            <w:pPr>
              <w:ind w:left="113" w:right="96"/>
              <w:jc w:val="center"/>
              <w:rPr>
                <w:rFonts w:eastAsia="Calibri"/>
                <w:sz w:val="20"/>
                <w:szCs w:val="20"/>
              </w:rPr>
            </w:pPr>
            <w:r>
              <w:rPr>
                <w:rFonts w:eastAsia="Calibri"/>
                <w:sz w:val="20"/>
                <w:szCs w:val="20"/>
              </w:rPr>
              <w:t>64,40</w:t>
            </w:r>
          </w:p>
        </w:tc>
        <w:tc>
          <w:tcPr>
            <w:tcW w:w="1274" w:type="dxa"/>
            <w:shd w:val="clear" w:color="auto" w:fill="auto"/>
          </w:tcPr>
          <w:p w14:paraId="377013C5" w14:textId="4B287ECE" w:rsidR="00385DE5" w:rsidRPr="00973920" w:rsidRDefault="006C1349" w:rsidP="00385DE5">
            <w:pPr>
              <w:ind w:left="113" w:right="96"/>
              <w:jc w:val="center"/>
              <w:rPr>
                <w:rFonts w:eastAsia="Calibri"/>
                <w:sz w:val="20"/>
                <w:szCs w:val="20"/>
              </w:rPr>
            </w:pPr>
            <w:r>
              <w:rPr>
                <w:rFonts w:eastAsia="Calibri"/>
                <w:sz w:val="20"/>
                <w:szCs w:val="20"/>
              </w:rPr>
              <w:t>64,40</w:t>
            </w:r>
          </w:p>
        </w:tc>
        <w:tc>
          <w:tcPr>
            <w:tcW w:w="1420" w:type="dxa"/>
            <w:shd w:val="clear" w:color="auto" w:fill="auto"/>
          </w:tcPr>
          <w:p w14:paraId="46CAC35A" w14:textId="6B957BFA" w:rsidR="00385DE5" w:rsidRPr="00973920" w:rsidRDefault="006C1349" w:rsidP="00385DE5">
            <w:pPr>
              <w:ind w:left="113" w:right="96"/>
              <w:jc w:val="center"/>
              <w:rPr>
                <w:rFonts w:eastAsia="Calibri"/>
                <w:sz w:val="20"/>
                <w:szCs w:val="20"/>
              </w:rPr>
            </w:pPr>
            <w:r>
              <w:rPr>
                <w:rFonts w:eastAsia="Calibri"/>
                <w:sz w:val="20"/>
                <w:szCs w:val="20"/>
              </w:rPr>
              <w:t>64,40</w:t>
            </w:r>
          </w:p>
        </w:tc>
      </w:tr>
      <w:tr w:rsidR="00385DE5" w:rsidRPr="00973920" w14:paraId="7078B89F" w14:textId="49CBF4BA" w:rsidTr="001C178A">
        <w:tc>
          <w:tcPr>
            <w:tcW w:w="2410" w:type="dxa"/>
            <w:shd w:val="clear" w:color="auto" w:fill="auto"/>
          </w:tcPr>
          <w:p w14:paraId="476D24E2" w14:textId="77777777" w:rsidR="00385DE5" w:rsidRPr="003F2F7B" w:rsidRDefault="00385DE5" w:rsidP="00385DE5">
            <w:pPr>
              <w:rPr>
                <w:rFonts w:eastAsia="Calibri"/>
                <w:szCs w:val="28"/>
              </w:rPr>
            </w:pPr>
            <w:r>
              <w:rPr>
                <w:szCs w:val="28"/>
              </w:rPr>
              <w:t>3.2. speciālais budžets</w:t>
            </w:r>
          </w:p>
        </w:tc>
        <w:tc>
          <w:tcPr>
            <w:tcW w:w="3260" w:type="dxa"/>
            <w:gridSpan w:val="2"/>
            <w:shd w:val="clear" w:color="auto" w:fill="auto"/>
          </w:tcPr>
          <w:p w14:paraId="412CD874" w14:textId="77777777" w:rsidR="00385DE5" w:rsidRPr="00973920" w:rsidRDefault="00385DE5" w:rsidP="00385DE5">
            <w:pPr>
              <w:ind w:left="113" w:right="96"/>
              <w:jc w:val="center"/>
              <w:rPr>
                <w:rFonts w:eastAsia="Calibri"/>
                <w:sz w:val="20"/>
                <w:szCs w:val="20"/>
              </w:rPr>
            </w:pPr>
            <w:r w:rsidRPr="00973920">
              <w:rPr>
                <w:rFonts w:eastAsia="Calibri"/>
                <w:sz w:val="20"/>
                <w:szCs w:val="20"/>
              </w:rPr>
              <w:t>0</w:t>
            </w:r>
          </w:p>
        </w:tc>
        <w:tc>
          <w:tcPr>
            <w:tcW w:w="1134" w:type="dxa"/>
            <w:gridSpan w:val="2"/>
            <w:shd w:val="clear" w:color="auto" w:fill="auto"/>
          </w:tcPr>
          <w:p w14:paraId="18FFF140" w14:textId="77777777" w:rsidR="00385DE5" w:rsidRPr="00973920" w:rsidRDefault="00385DE5" w:rsidP="00385DE5">
            <w:pPr>
              <w:ind w:right="96"/>
              <w:jc w:val="center"/>
              <w:rPr>
                <w:rFonts w:eastAsia="Calibri"/>
                <w:sz w:val="20"/>
                <w:szCs w:val="20"/>
              </w:rPr>
            </w:pPr>
          </w:p>
        </w:tc>
        <w:tc>
          <w:tcPr>
            <w:tcW w:w="1274" w:type="dxa"/>
            <w:shd w:val="clear" w:color="auto" w:fill="auto"/>
          </w:tcPr>
          <w:p w14:paraId="0F9F60E1" w14:textId="31C977A6" w:rsidR="00385DE5" w:rsidRPr="00973920" w:rsidRDefault="00385DE5" w:rsidP="00385DE5">
            <w:pPr>
              <w:ind w:right="96"/>
              <w:jc w:val="center"/>
              <w:rPr>
                <w:rFonts w:eastAsia="Calibri"/>
                <w:sz w:val="20"/>
                <w:szCs w:val="20"/>
              </w:rPr>
            </w:pPr>
          </w:p>
        </w:tc>
        <w:tc>
          <w:tcPr>
            <w:tcW w:w="1420" w:type="dxa"/>
            <w:shd w:val="clear" w:color="auto" w:fill="auto"/>
          </w:tcPr>
          <w:p w14:paraId="30785D09" w14:textId="77777777" w:rsidR="00385DE5" w:rsidRPr="00973920" w:rsidRDefault="00385DE5" w:rsidP="00385DE5">
            <w:pPr>
              <w:ind w:right="96"/>
              <w:jc w:val="center"/>
              <w:rPr>
                <w:rFonts w:eastAsia="Calibri"/>
                <w:sz w:val="20"/>
                <w:szCs w:val="20"/>
              </w:rPr>
            </w:pPr>
          </w:p>
        </w:tc>
      </w:tr>
      <w:tr w:rsidR="00385DE5" w:rsidRPr="00973920" w14:paraId="3D814413" w14:textId="5DC23CAE" w:rsidTr="001C178A">
        <w:tc>
          <w:tcPr>
            <w:tcW w:w="2410" w:type="dxa"/>
            <w:shd w:val="clear" w:color="auto" w:fill="auto"/>
          </w:tcPr>
          <w:p w14:paraId="624FADD6" w14:textId="77777777" w:rsidR="00385DE5" w:rsidRPr="003F2F7B" w:rsidRDefault="00385DE5" w:rsidP="00385DE5">
            <w:pPr>
              <w:rPr>
                <w:rFonts w:eastAsia="Calibri"/>
                <w:szCs w:val="28"/>
              </w:rPr>
            </w:pPr>
            <w:r>
              <w:rPr>
                <w:szCs w:val="28"/>
              </w:rPr>
              <w:t>3.3. pašvaldību budžets</w:t>
            </w:r>
          </w:p>
        </w:tc>
        <w:tc>
          <w:tcPr>
            <w:tcW w:w="3260" w:type="dxa"/>
            <w:gridSpan w:val="2"/>
            <w:shd w:val="clear" w:color="auto" w:fill="auto"/>
          </w:tcPr>
          <w:p w14:paraId="25CCD12C" w14:textId="77777777" w:rsidR="00385DE5" w:rsidRPr="00973920" w:rsidRDefault="00385DE5" w:rsidP="00385DE5">
            <w:pPr>
              <w:ind w:left="113" w:right="96"/>
              <w:jc w:val="center"/>
              <w:rPr>
                <w:rFonts w:eastAsia="Calibri"/>
                <w:sz w:val="20"/>
                <w:szCs w:val="20"/>
              </w:rPr>
            </w:pPr>
            <w:r w:rsidRPr="00973920">
              <w:rPr>
                <w:rFonts w:eastAsia="Calibri"/>
                <w:sz w:val="20"/>
                <w:szCs w:val="20"/>
              </w:rPr>
              <w:t>0</w:t>
            </w:r>
          </w:p>
        </w:tc>
        <w:tc>
          <w:tcPr>
            <w:tcW w:w="1134" w:type="dxa"/>
            <w:gridSpan w:val="2"/>
            <w:shd w:val="clear" w:color="auto" w:fill="auto"/>
          </w:tcPr>
          <w:p w14:paraId="6C0200D3" w14:textId="77777777" w:rsidR="00385DE5" w:rsidRPr="00973920" w:rsidRDefault="00385DE5" w:rsidP="00385DE5">
            <w:pPr>
              <w:ind w:right="96"/>
              <w:jc w:val="center"/>
              <w:rPr>
                <w:rFonts w:eastAsia="Calibri"/>
                <w:sz w:val="20"/>
                <w:szCs w:val="20"/>
              </w:rPr>
            </w:pPr>
          </w:p>
        </w:tc>
        <w:tc>
          <w:tcPr>
            <w:tcW w:w="1274" w:type="dxa"/>
            <w:shd w:val="clear" w:color="auto" w:fill="auto"/>
          </w:tcPr>
          <w:p w14:paraId="5816EAC6" w14:textId="49B97D20" w:rsidR="00385DE5" w:rsidRPr="00973920" w:rsidRDefault="00385DE5" w:rsidP="00385DE5">
            <w:pPr>
              <w:ind w:right="96"/>
              <w:jc w:val="center"/>
              <w:rPr>
                <w:rFonts w:eastAsia="Calibri"/>
                <w:sz w:val="20"/>
                <w:szCs w:val="20"/>
              </w:rPr>
            </w:pPr>
          </w:p>
        </w:tc>
        <w:tc>
          <w:tcPr>
            <w:tcW w:w="1420" w:type="dxa"/>
            <w:shd w:val="clear" w:color="auto" w:fill="auto"/>
          </w:tcPr>
          <w:p w14:paraId="7F9EB6B9" w14:textId="77777777" w:rsidR="00385DE5" w:rsidRPr="00973920" w:rsidRDefault="00385DE5" w:rsidP="00385DE5">
            <w:pPr>
              <w:ind w:right="96"/>
              <w:jc w:val="center"/>
              <w:rPr>
                <w:rFonts w:eastAsia="Calibri"/>
                <w:sz w:val="20"/>
                <w:szCs w:val="20"/>
              </w:rPr>
            </w:pPr>
          </w:p>
        </w:tc>
      </w:tr>
      <w:tr w:rsidR="00385DE5" w:rsidRPr="00973920" w14:paraId="0E2FC3B7" w14:textId="77777777" w:rsidTr="001C178A">
        <w:tc>
          <w:tcPr>
            <w:tcW w:w="2410" w:type="dxa"/>
            <w:shd w:val="clear" w:color="auto" w:fill="auto"/>
          </w:tcPr>
          <w:p w14:paraId="231D647F" w14:textId="77777777" w:rsidR="00385DE5" w:rsidRPr="003F2F7B" w:rsidRDefault="00385DE5" w:rsidP="00385DE5">
            <w:pPr>
              <w:rPr>
                <w:rFonts w:eastAsia="Calibri"/>
                <w:szCs w:val="28"/>
              </w:rPr>
            </w:pPr>
            <w:r>
              <w:rPr>
                <w:szCs w:val="28"/>
              </w:rPr>
              <w:t>4. Finanšu līdzekļi papildu izdevumu finansēšanai (kompensējošu izdevumu samazinājumu norāda ar "+" zīmi)</w:t>
            </w:r>
          </w:p>
        </w:tc>
        <w:tc>
          <w:tcPr>
            <w:tcW w:w="3260" w:type="dxa"/>
            <w:gridSpan w:val="2"/>
            <w:shd w:val="clear" w:color="auto" w:fill="auto"/>
          </w:tcPr>
          <w:p w14:paraId="39A51C93" w14:textId="77777777" w:rsidR="00385DE5" w:rsidRPr="00973920" w:rsidRDefault="00385DE5" w:rsidP="00385DE5">
            <w:pPr>
              <w:ind w:left="113" w:right="96"/>
              <w:jc w:val="center"/>
              <w:rPr>
                <w:rFonts w:eastAsia="Calibri"/>
                <w:sz w:val="20"/>
                <w:szCs w:val="20"/>
              </w:rPr>
            </w:pPr>
          </w:p>
          <w:p w14:paraId="0E461556" w14:textId="77777777" w:rsidR="00385DE5" w:rsidRPr="00973920" w:rsidRDefault="00385DE5" w:rsidP="00385DE5">
            <w:pPr>
              <w:ind w:left="113" w:right="96"/>
              <w:jc w:val="center"/>
              <w:rPr>
                <w:rFonts w:eastAsia="Calibri"/>
                <w:sz w:val="20"/>
                <w:szCs w:val="20"/>
              </w:rPr>
            </w:pPr>
            <w:r w:rsidRPr="00973920">
              <w:rPr>
                <w:rFonts w:eastAsia="Calibri"/>
                <w:sz w:val="20"/>
                <w:szCs w:val="20"/>
              </w:rPr>
              <w:t>X</w:t>
            </w:r>
          </w:p>
        </w:tc>
        <w:tc>
          <w:tcPr>
            <w:tcW w:w="3828" w:type="dxa"/>
            <w:gridSpan w:val="4"/>
            <w:shd w:val="clear" w:color="auto" w:fill="auto"/>
          </w:tcPr>
          <w:p w14:paraId="31AD473B" w14:textId="77777777" w:rsidR="00385DE5" w:rsidRPr="00973920" w:rsidRDefault="00385DE5" w:rsidP="00385DE5">
            <w:pPr>
              <w:ind w:left="113" w:right="96"/>
              <w:jc w:val="center"/>
              <w:rPr>
                <w:sz w:val="20"/>
                <w:szCs w:val="20"/>
              </w:rPr>
            </w:pPr>
          </w:p>
          <w:p w14:paraId="5F9264BE" w14:textId="77777777" w:rsidR="00385DE5" w:rsidRPr="00973920" w:rsidRDefault="00385DE5" w:rsidP="00385DE5">
            <w:pPr>
              <w:ind w:left="113" w:right="96"/>
              <w:jc w:val="center"/>
              <w:rPr>
                <w:rFonts w:eastAsia="Calibri"/>
                <w:sz w:val="20"/>
                <w:szCs w:val="20"/>
              </w:rPr>
            </w:pPr>
            <w:r w:rsidRPr="00973920">
              <w:rPr>
                <w:sz w:val="20"/>
                <w:szCs w:val="20"/>
              </w:rPr>
              <w:t>Nav precīzi aprēķināms</w:t>
            </w:r>
          </w:p>
        </w:tc>
      </w:tr>
      <w:tr w:rsidR="00385DE5" w:rsidRPr="00973920" w14:paraId="2D13DF4C" w14:textId="77777777" w:rsidTr="001C178A">
        <w:tc>
          <w:tcPr>
            <w:tcW w:w="2410" w:type="dxa"/>
            <w:shd w:val="clear" w:color="auto" w:fill="auto"/>
          </w:tcPr>
          <w:p w14:paraId="5973EC2A" w14:textId="77777777" w:rsidR="00385DE5" w:rsidRPr="003F2F7B" w:rsidRDefault="00385DE5" w:rsidP="00385DE5">
            <w:pPr>
              <w:rPr>
                <w:rFonts w:eastAsia="Calibri"/>
                <w:szCs w:val="28"/>
              </w:rPr>
            </w:pPr>
            <w:r>
              <w:rPr>
                <w:szCs w:val="28"/>
              </w:rPr>
              <w:t>5. Precizēta finansiālā ietekme:</w:t>
            </w:r>
          </w:p>
        </w:tc>
        <w:tc>
          <w:tcPr>
            <w:tcW w:w="3260" w:type="dxa"/>
            <w:gridSpan w:val="2"/>
            <w:vMerge w:val="restart"/>
            <w:shd w:val="clear" w:color="auto" w:fill="auto"/>
          </w:tcPr>
          <w:p w14:paraId="4F37F94C" w14:textId="77777777" w:rsidR="00385DE5" w:rsidRPr="00973920" w:rsidRDefault="00385DE5" w:rsidP="00385DE5">
            <w:pPr>
              <w:ind w:left="113" w:right="96"/>
              <w:jc w:val="center"/>
              <w:rPr>
                <w:rFonts w:eastAsia="Calibri"/>
                <w:sz w:val="20"/>
                <w:szCs w:val="20"/>
              </w:rPr>
            </w:pPr>
          </w:p>
          <w:p w14:paraId="3163C3FC" w14:textId="77777777" w:rsidR="00385DE5" w:rsidRPr="00973920" w:rsidRDefault="00385DE5" w:rsidP="00385DE5">
            <w:pPr>
              <w:ind w:left="113" w:right="96"/>
              <w:jc w:val="center"/>
              <w:rPr>
                <w:rFonts w:eastAsia="Calibri"/>
                <w:sz w:val="20"/>
                <w:szCs w:val="20"/>
              </w:rPr>
            </w:pPr>
            <w:r w:rsidRPr="00973920">
              <w:rPr>
                <w:rFonts w:eastAsia="Calibri"/>
                <w:sz w:val="20"/>
                <w:szCs w:val="20"/>
              </w:rPr>
              <w:t>X</w:t>
            </w:r>
          </w:p>
        </w:tc>
        <w:tc>
          <w:tcPr>
            <w:tcW w:w="3828" w:type="dxa"/>
            <w:gridSpan w:val="4"/>
            <w:vMerge w:val="restart"/>
            <w:shd w:val="clear" w:color="auto" w:fill="auto"/>
          </w:tcPr>
          <w:p w14:paraId="5B625930" w14:textId="77777777" w:rsidR="00385DE5" w:rsidRPr="00973920" w:rsidRDefault="00385DE5" w:rsidP="00385DE5">
            <w:pPr>
              <w:ind w:left="113" w:right="96"/>
              <w:jc w:val="center"/>
              <w:rPr>
                <w:sz w:val="20"/>
                <w:szCs w:val="20"/>
              </w:rPr>
            </w:pPr>
          </w:p>
          <w:p w14:paraId="67045A94" w14:textId="77777777" w:rsidR="00385DE5" w:rsidRPr="00973920" w:rsidRDefault="00385DE5" w:rsidP="00385DE5">
            <w:pPr>
              <w:ind w:left="113" w:right="96"/>
              <w:jc w:val="center"/>
              <w:rPr>
                <w:rFonts w:eastAsia="Calibri"/>
                <w:sz w:val="20"/>
                <w:szCs w:val="20"/>
              </w:rPr>
            </w:pPr>
            <w:r w:rsidRPr="00973920">
              <w:rPr>
                <w:sz w:val="20"/>
                <w:szCs w:val="20"/>
              </w:rPr>
              <w:t>Nav precīzi aprēķināms</w:t>
            </w:r>
          </w:p>
        </w:tc>
      </w:tr>
      <w:tr w:rsidR="00385DE5" w:rsidRPr="00973920" w14:paraId="6C035DEB" w14:textId="77777777" w:rsidTr="001C178A">
        <w:tc>
          <w:tcPr>
            <w:tcW w:w="2410" w:type="dxa"/>
            <w:shd w:val="clear" w:color="auto" w:fill="auto"/>
          </w:tcPr>
          <w:p w14:paraId="6E6A1FED" w14:textId="77777777" w:rsidR="00385DE5" w:rsidRPr="003F2F7B" w:rsidRDefault="00385DE5" w:rsidP="00385DE5">
            <w:pPr>
              <w:rPr>
                <w:rFonts w:eastAsia="Calibri"/>
                <w:szCs w:val="28"/>
              </w:rPr>
            </w:pPr>
            <w:r>
              <w:rPr>
                <w:szCs w:val="28"/>
              </w:rPr>
              <w:t>5.1. valsts pamatbudžets</w:t>
            </w:r>
          </w:p>
        </w:tc>
        <w:tc>
          <w:tcPr>
            <w:tcW w:w="3260" w:type="dxa"/>
            <w:gridSpan w:val="2"/>
            <w:vMerge/>
            <w:shd w:val="clear" w:color="auto" w:fill="auto"/>
          </w:tcPr>
          <w:p w14:paraId="7857C593" w14:textId="77777777" w:rsidR="00385DE5" w:rsidRPr="00973920" w:rsidRDefault="00385DE5" w:rsidP="00385DE5">
            <w:pPr>
              <w:ind w:left="113" w:right="96"/>
              <w:jc w:val="center"/>
              <w:rPr>
                <w:rFonts w:eastAsia="Calibri"/>
                <w:sz w:val="20"/>
                <w:szCs w:val="20"/>
              </w:rPr>
            </w:pPr>
          </w:p>
        </w:tc>
        <w:tc>
          <w:tcPr>
            <w:tcW w:w="3828" w:type="dxa"/>
            <w:gridSpan w:val="4"/>
            <w:vMerge/>
            <w:shd w:val="clear" w:color="auto" w:fill="auto"/>
          </w:tcPr>
          <w:p w14:paraId="5A43899E" w14:textId="77777777" w:rsidR="00385DE5" w:rsidRPr="00973920" w:rsidRDefault="00385DE5" w:rsidP="00385DE5">
            <w:pPr>
              <w:ind w:left="113" w:right="96"/>
              <w:jc w:val="center"/>
              <w:rPr>
                <w:rFonts w:eastAsia="Calibri"/>
                <w:sz w:val="20"/>
                <w:szCs w:val="20"/>
              </w:rPr>
            </w:pPr>
          </w:p>
        </w:tc>
      </w:tr>
      <w:tr w:rsidR="00385DE5" w:rsidRPr="00973920" w14:paraId="79A5765C" w14:textId="77777777" w:rsidTr="001C178A">
        <w:tc>
          <w:tcPr>
            <w:tcW w:w="2410" w:type="dxa"/>
            <w:shd w:val="clear" w:color="auto" w:fill="auto"/>
          </w:tcPr>
          <w:p w14:paraId="5836F34F" w14:textId="77777777" w:rsidR="00385DE5" w:rsidRPr="003F2F7B" w:rsidRDefault="00385DE5" w:rsidP="00385DE5">
            <w:pPr>
              <w:rPr>
                <w:rFonts w:eastAsia="Calibri"/>
                <w:szCs w:val="28"/>
              </w:rPr>
            </w:pPr>
            <w:r>
              <w:rPr>
                <w:szCs w:val="28"/>
              </w:rPr>
              <w:t>5.2. speciālais budžets</w:t>
            </w:r>
          </w:p>
        </w:tc>
        <w:tc>
          <w:tcPr>
            <w:tcW w:w="3260" w:type="dxa"/>
            <w:gridSpan w:val="2"/>
            <w:vMerge/>
            <w:shd w:val="clear" w:color="auto" w:fill="auto"/>
          </w:tcPr>
          <w:p w14:paraId="4F21101D" w14:textId="77777777" w:rsidR="00385DE5" w:rsidRPr="00973920" w:rsidRDefault="00385DE5" w:rsidP="00385DE5">
            <w:pPr>
              <w:ind w:left="113" w:right="96"/>
              <w:jc w:val="center"/>
              <w:rPr>
                <w:rFonts w:eastAsia="Calibri"/>
                <w:sz w:val="20"/>
                <w:szCs w:val="20"/>
              </w:rPr>
            </w:pPr>
          </w:p>
        </w:tc>
        <w:tc>
          <w:tcPr>
            <w:tcW w:w="3828" w:type="dxa"/>
            <w:gridSpan w:val="4"/>
            <w:vMerge/>
            <w:shd w:val="clear" w:color="auto" w:fill="auto"/>
          </w:tcPr>
          <w:p w14:paraId="42741063" w14:textId="77777777" w:rsidR="00385DE5" w:rsidRPr="00973920" w:rsidRDefault="00385DE5" w:rsidP="00385DE5">
            <w:pPr>
              <w:ind w:left="113" w:right="96"/>
              <w:jc w:val="center"/>
              <w:rPr>
                <w:rFonts w:eastAsia="Calibri"/>
                <w:sz w:val="20"/>
                <w:szCs w:val="20"/>
              </w:rPr>
            </w:pPr>
          </w:p>
        </w:tc>
      </w:tr>
      <w:tr w:rsidR="00385DE5" w:rsidRPr="00973920" w14:paraId="74738762" w14:textId="77777777" w:rsidTr="001C178A">
        <w:tc>
          <w:tcPr>
            <w:tcW w:w="2410" w:type="dxa"/>
            <w:shd w:val="clear" w:color="auto" w:fill="auto"/>
          </w:tcPr>
          <w:p w14:paraId="5BBAA3CD" w14:textId="77777777" w:rsidR="00385DE5" w:rsidRPr="003F2F7B" w:rsidRDefault="00385DE5" w:rsidP="00385DE5">
            <w:pPr>
              <w:rPr>
                <w:rFonts w:eastAsia="Calibri"/>
                <w:szCs w:val="28"/>
              </w:rPr>
            </w:pPr>
            <w:r>
              <w:rPr>
                <w:szCs w:val="28"/>
              </w:rPr>
              <w:t>5.3. pašvaldību budžets</w:t>
            </w:r>
          </w:p>
        </w:tc>
        <w:tc>
          <w:tcPr>
            <w:tcW w:w="3260" w:type="dxa"/>
            <w:gridSpan w:val="2"/>
            <w:vMerge/>
            <w:shd w:val="clear" w:color="auto" w:fill="auto"/>
          </w:tcPr>
          <w:p w14:paraId="222ADD65" w14:textId="77777777" w:rsidR="00385DE5" w:rsidRPr="00973920" w:rsidRDefault="00385DE5" w:rsidP="00385DE5">
            <w:pPr>
              <w:ind w:left="113" w:right="96"/>
              <w:jc w:val="center"/>
              <w:rPr>
                <w:rFonts w:eastAsia="Calibri"/>
                <w:sz w:val="20"/>
                <w:szCs w:val="20"/>
              </w:rPr>
            </w:pPr>
          </w:p>
        </w:tc>
        <w:tc>
          <w:tcPr>
            <w:tcW w:w="3828" w:type="dxa"/>
            <w:gridSpan w:val="4"/>
            <w:vMerge/>
            <w:shd w:val="clear" w:color="auto" w:fill="auto"/>
          </w:tcPr>
          <w:p w14:paraId="617C3113" w14:textId="77777777" w:rsidR="00385DE5" w:rsidRPr="00973920" w:rsidRDefault="00385DE5" w:rsidP="00385DE5">
            <w:pPr>
              <w:ind w:left="113" w:right="96"/>
              <w:jc w:val="center"/>
              <w:rPr>
                <w:rFonts w:eastAsia="Calibri"/>
                <w:sz w:val="20"/>
                <w:szCs w:val="20"/>
              </w:rPr>
            </w:pPr>
          </w:p>
        </w:tc>
      </w:tr>
      <w:tr w:rsidR="00385DE5" w:rsidRPr="00973920" w14:paraId="68012819" w14:textId="77777777" w:rsidTr="001C178A">
        <w:tc>
          <w:tcPr>
            <w:tcW w:w="2410" w:type="dxa"/>
            <w:shd w:val="clear" w:color="auto" w:fill="auto"/>
          </w:tcPr>
          <w:p w14:paraId="0F1DA082" w14:textId="77777777" w:rsidR="00385DE5" w:rsidRPr="003F2F7B" w:rsidRDefault="00385DE5" w:rsidP="00385DE5">
            <w:pPr>
              <w:rPr>
                <w:rFonts w:eastAsia="Calibri"/>
                <w:szCs w:val="28"/>
              </w:rPr>
            </w:pPr>
            <w:r>
              <w:rPr>
                <w:szCs w:val="28"/>
              </w:rPr>
              <w:t xml:space="preserve">6. Detalizēts ieņēmumu un izdevumu aprēķins </w:t>
            </w:r>
            <w:r>
              <w:rPr>
                <w:szCs w:val="28"/>
              </w:rPr>
              <w:lastRenderedPageBreak/>
              <w:t>(ja nepieciešams, detalizētu ieņēmumu un izdevumu aprēķinu var pievienot anotācijas pielikumā):</w:t>
            </w:r>
          </w:p>
        </w:tc>
        <w:tc>
          <w:tcPr>
            <w:tcW w:w="7088" w:type="dxa"/>
            <w:gridSpan w:val="6"/>
            <w:vMerge w:val="restart"/>
            <w:shd w:val="clear" w:color="auto" w:fill="auto"/>
          </w:tcPr>
          <w:p w14:paraId="7EA34FE6" w14:textId="77777777" w:rsidR="00385DE5" w:rsidRPr="00973920" w:rsidRDefault="00385DE5" w:rsidP="00385DE5">
            <w:pPr>
              <w:ind w:left="113" w:right="96"/>
              <w:jc w:val="center"/>
              <w:rPr>
                <w:sz w:val="20"/>
                <w:szCs w:val="20"/>
              </w:rPr>
            </w:pPr>
          </w:p>
          <w:p w14:paraId="5A3D1EFE" w14:textId="77777777" w:rsidR="00385DE5" w:rsidRPr="00973920" w:rsidRDefault="00385DE5" w:rsidP="00385DE5">
            <w:pPr>
              <w:ind w:left="113" w:right="96"/>
              <w:jc w:val="center"/>
              <w:rPr>
                <w:sz w:val="20"/>
                <w:szCs w:val="20"/>
              </w:rPr>
            </w:pPr>
          </w:p>
          <w:p w14:paraId="75DADA99" w14:textId="77777777" w:rsidR="00385DE5" w:rsidRPr="00973920" w:rsidRDefault="00385DE5" w:rsidP="00385DE5">
            <w:pPr>
              <w:ind w:left="113" w:right="96"/>
              <w:jc w:val="center"/>
              <w:rPr>
                <w:rFonts w:eastAsia="Calibri"/>
                <w:sz w:val="20"/>
                <w:szCs w:val="20"/>
              </w:rPr>
            </w:pPr>
            <w:r w:rsidRPr="00973920">
              <w:rPr>
                <w:sz w:val="20"/>
                <w:szCs w:val="20"/>
              </w:rPr>
              <w:t>Nav precīzi aprēķināms</w:t>
            </w:r>
          </w:p>
        </w:tc>
      </w:tr>
      <w:tr w:rsidR="00385DE5" w:rsidRPr="003F2F7B" w14:paraId="28567CD1" w14:textId="77777777" w:rsidTr="001C178A">
        <w:tc>
          <w:tcPr>
            <w:tcW w:w="2410" w:type="dxa"/>
            <w:shd w:val="clear" w:color="auto" w:fill="auto"/>
          </w:tcPr>
          <w:p w14:paraId="0F6C457D" w14:textId="77777777" w:rsidR="00385DE5" w:rsidRPr="003F2F7B" w:rsidRDefault="00385DE5" w:rsidP="00385DE5">
            <w:pPr>
              <w:rPr>
                <w:rFonts w:eastAsia="Calibri"/>
                <w:szCs w:val="28"/>
              </w:rPr>
            </w:pPr>
            <w:r>
              <w:rPr>
                <w:szCs w:val="28"/>
              </w:rPr>
              <w:t>6.1. detalizēts ieņēmumu aprēķins</w:t>
            </w:r>
          </w:p>
        </w:tc>
        <w:tc>
          <w:tcPr>
            <w:tcW w:w="7088" w:type="dxa"/>
            <w:gridSpan w:val="6"/>
            <w:vMerge/>
            <w:shd w:val="clear" w:color="auto" w:fill="auto"/>
          </w:tcPr>
          <w:p w14:paraId="47B2904C" w14:textId="77777777" w:rsidR="00385DE5" w:rsidRPr="003F2F7B" w:rsidRDefault="00385DE5" w:rsidP="00385DE5">
            <w:pPr>
              <w:ind w:left="113" w:right="96"/>
              <w:jc w:val="both"/>
              <w:rPr>
                <w:rFonts w:eastAsia="Calibri"/>
                <w:szCs w:val="28"/>
              </w:rPr>
            </w:pPr>
          </w:p>
        </w:tc>
      </w:tr>
      <w:tr w:rsidR="00385DE5" w:rsidRPr="003F2F7B" w14:paraId="5BFB49D5" w14:textId="77777777" w:rsidTr="001C178A">
        <w:tc>
          <w:tcPr>
            <w:tcW w:w="2410" w:type="dxa"/>
            <w:shd w:val="clear" w:color="auto" w:fill="auto"/>
          </w:tcPr>
          <w:p w14:paraId="18FF232A" w14:textId="77777777" w:rsidR="00385DE5" w:rsidRPr="003F2F7B" w:rsidRDefault="00385DE5" w:rsidP="00385DE5">
            <w:pPr>
              <w:rPr>
                <w:rFonts w:eastAsia="Calibri"/>
                <w:szCs w:val="28"/>
              </w:rPr>
            </w:pPr>
            <w:r>
              <w:rPr>
                <w:szCs w:val="28"/>
              </w:rPr>
              <w:t>6.2. detalizēts izdevumu aprēķins</w:t>
            </w:r>
          </w:p>
        </w:tc>
        <w:tc>
          <w:tcPr>
            <w:tcW w:w="7088" w:type="dxa"/>
            <w:gridSpan w:val="6"/>
            <w:vMerge/>
            <w:shd w:val="clear" w:color="auto" w:fill="auto"/>
          </w:tcPr>
          <w:p w14:paraId="0EF4AF71" w14:textId="77777777" w:rsidR="00385DE5" w:rsidRPr="003F2F7B" w:rsidRDefault="00385DE5" w:rsidP="00385DE5">
            <w:pPr>
              <w:ind w:left="113" w:right="96"/>
              <w:jc w:val="both"/>
              <w:rPr>
                <w:rFonts w:eastAsia="Calibri"/>
                <w:szCs w:val="28"/>
              </w:rPr>
            </w:pPr>
          </w:p>
        </w:tc>
      </w:tr>
      <w:tr w:rsidR="00385DE5" w:rsidRPr="003F2F7B" w14:paraId="6B984FE8" w14:textId="77777777" w:rsidTr="001C178A">
        <w:tc>
          <w:tcPr>
            <w:tcW w:w="2410" w:type="dxa"/>
            <w:tcBorders>
              <w:bottom w:val="single" w:sz="4" w:space="0" w:color="auto"/>
            </w:tcBorders>
            <w:shd w:val="clear" w:color="auto" w:fill="auto"/>
          </w:tcPr>
          <w:p w14:paraId="524C4AAB" w14:textId="77777777" w:rsidR="00385DE5" w:rsidRPr="003F2F7B" w:rsidRDefault="00385DE5" w:rsidP="00385DE5">
            <w:pPr>
              <w:rPr>
                <w:rFonts w:eastAsia="Calibri"/>
                <w:szCs w:val="28"/>
              </w:rPr>
            </w:pPr>
            <w:r>
              <w:rPr>
                <w:szCs w:val="28"/>
              </w:rPr>
              <w:t>7. Cita informācija</w:t>
            </w:r>
          </w:p>
        </w:tc>
        <w:tc>
          <w:tcPr>
            <w:tcW w:w="7088" w:type="dxa"/>
            <w:gridSpan w:val="6"/>
            <w:tcBorders>
              <w:bottom w:val="single" w:sz="4" w:space="0" w:color="auto"/>
            </w:tcBorders>
            <w:shd w:val="clear" w:color="auto" w:fill="auto"/>
          </w:tcPr>
          <w:p w14:paraId="0F3CCE60" w14:textId="33BA82D7" w:rsidR="00385DE5" w:rsidRPr="00482AA6" w:rsidRDefault="00482AA6" w:rsidP="00385DE5">
            <w:pPr>
              <w:pStyle w:val="BlockText"/>
              <w:tabs>
                <w:tab w:val="left" w:pos="850"/>
              </w:tabs>
              <w:ind w:left="0" w:right="0" w:firstLine="0"/>
              <w:rPr>
                <w:rFonts w:eastAsia="Calibri"/>
                <w:szCs w:val="28"/>
              </w:rPr>
            </w:pPr>
            <w:r>
              <w:rPr>
                <w:rFonts w:eastAsia="Calibri"/>
                <w:szCs w:val="28"/>
              </w:rPr>
              <w:t>Prognozētie i</w:t>
            </w:r>
            <w:r w:rsidR="00385DE5" w:rsidRPr="00482AA6">
              <w:rPr>
                <w:rFonts w:eastAsia="Calibri"/>
                <w:szCs w:val="28"/>
              </w:rPr>
              <w:t>zdevumi par nekustamā īpašuma īpašnieka maiņas reģistrāciju zemesgrāmatā</w:t>
            </w:r>
            <w:r>
              <w:rPr>
                <w:rFonts w:eastAsia="Calibri"/>
                <w:szCs w:val="28"/>
              </w:rPr>
              <w:t xml:space="preserve"> sastāda 143,02 </w:t>
            </w:r>
            <w:proofErr w:type="spellStart"/>
            <w:r>
              <w:rPr>
                <w:rFonts w:eastAsia="Calibri"/>
                <w:szCs w:val="28"/>
              </w:rPr>
              <w:t>euro</w:t>
            </w:r>
            <w:proofErr w:type="spellEnd"/>
            <w:r w:rsidR="00D5567C">
              <w:rPr>
                <w:rFonts w:eastAsia="Calibri"/>
                <w:szCs w:val="28"/>
              </w:rPr>
              <w:t>, no kuriem</w:t>
            </w:r>
            <w:r w:rsidR="00385DE5" w:rsidRPr="00482AA6">
              <w:rPr>
                <w:rFonts w:eastAsia="Calibri"/>
                <w:szCs w:val="28"/>
              </w:rPr>
              <w:t xml:space="preserve"> kancelejas nodeva </w:t>
            </w:r>
            <w:r w:rsidR="00D5567C">
              <w:rPr>
                <w:rFonts w:eastAsia="Calibri"/>
                <w:szCs w:val="28"/>
              </w:rPr>
              <w:t xml:space="preserve">ir </w:t>
            </w:r>
            <w:r w:rsidR="00385DE5" w:rsidRPr="00482AA6">
              <w:rPr>
                <w:rFonts w:eastAsia="Calibri"/>
                <w:szCs w:val="28"/>
              </w:rPr>
              <w:t xml:space="preserve">14,23 </w:t>
            </w:r>
            <w:proofErr w:type="spellStart"/>
            <w:r w:rsidR="00385DE5" w:rsidRPr="00482AA6">
              <w:rPr>
                <w:rFonts w:eastAsia="Calibri"/>
                <w:szCs w:val="28"/>
              </w:rPr>
              <w:t>euro</w:t>
            </w:r>
            <w:proofErr w:type="spellEnd"/>
            <w:r w:rsidR="00D5567C">
              <w:rPr>
                <w:rFonts w:eastAsia="Calibri"/>
                <w:szCs w:val="28"/>
              </w:rPr>
              <w:t xml:space="preserve"> un</w:t>
            </w:r>
            <w:r w:rsidR="00385DE5" w:rsidRPr="00482AA6">
              <w:rPr>
                <w:rFonts w:eastAsia="Calibri"/>
                <w:szCs w:val="28"/>
              </w:rPr>
              <w:t xml:space="preserve"> valsts nodeva –</w:t>
            </w:r>
            <w:r w:rsidR="009F638D">
              <w:rPr>
                <w:rFonts w:eastAsia="Calibri"/>
                <w:szCs w:val="28"/>
              </w:rPr>
              <w:t xml:space="preserve"> 128,79 </w:t>
            </w:r>
            <w:proofErr w:type="spellStart"/>
            <w:r w:rsidR="009F638D">
              <w:rPr>
                <w:rFonts w:eastAsia="Calibri"/>
                <w:szCs w:val="28"/>
              </w:rPr>
              <w:t>euro</w:t>
            </w:r>
            <w:proofErr w:type="spellEnd"/>
            <w:r w:rsidR="009F638D">
              <w:rPr>
                <w:rFonts w:eastAsia="Calibri"/>
                <w:szCs w:val="28"/>
              </w:rPr>
              <w:t xml:space="preserve"> (</w:t>
            </w:r>
            <w:r w:rsidR="00385DE5" w:rsidRPr="00482AA6">
              <w:rPr>
                <w:rFonts w:eastAsia="Calibri"/>
                <w:szCs w:val="28"/>
              </w:rPr>
              <w:t xml:space="preserve"> 3% no kadastrālās vērt</w:t>
            </w:r>
            <w:r w:rsidR="00D5567C">
              <w:rPr>
                <w:rFonts w:eastAsia="Calibri"/>
                <w:szCs w:val="28"/>
              </w:rPr>
              <w:t xml:space="preserve">ības </w:t>
            </w:r>
            <w:r w:rsidR="009F638D">
              <w:rPr>
                <w:rFonts w:eastAsia="Calibri"/>
                <w:szCs w:val="28"/>
              </w:rPr>
              <w:t>4293</w:t>
            </w:r>
            <w:r w:rsidR="00512968">
              <w:rPr>
                <w:rFonts w:eastAsia="Calibri"/>
                <w:szCs w:val="28"/>
              </w:rPr>
              <w:t xml:space="preserve"> </w:t>
            </w:r>
            <w:proofErr w:type="spellStart"/>
            <w:r w:rsidR="00512968">
              <w:rPr>
                <w:rFonts w:eastAsia="Calibri"/>
                <w:szCs w:val="28"/>
              </w:rPr>
              <w:t>euro</w:t>
            </w:r>
            <w:proofErr w:type="spellEnd"/>
            <w:r w:rsidR="00385DE5" w:rsidRPr="00482AA6">
              <w:rPr>
                <w:rFonts w:eastAsia="Calibri"/>
                <w:szCs w:val="28"/>
              </w:rPr>
              <w:t>)</w:t>
            </w:r>
            <w:r w:rsidR="002C01ED">
              <w:rPr>
                <w:rFonts w:eastAsia="Calibri"/>
                <w:szCs w:val="28"/>
              </w:rPr>
              <w:t xml:space="preserve">, kas tiks segti no </w:t>
            </w:r>
            <w:r w:rsidR="002C01ED" w:rsidRPr="000355D7">
              <w:rPr>
                <w:szCs w:val="28"/>
              </w:rPr>
              <w:t>valsts pamatbudžeta programmas 24.00.00 “Dabas aizsardzība” apakšprogrammas 24.08.00 “Nacionālo parku darbības nodro</w:t>
            </w:r>
            <w:r w:rsidR="002C01ED" w:rsidRPr="009A0C98">
              <w:rPr>
                <w:szCs w:val="28"/>
              </w:rPr>
              <w:t>šināšana”</w:t>
            </w:r>
            <w:r w:rsidR="00EA341A">
              <w:rPr>
                <w:szCs w:val="28"/>
              </w:rPr>
              <w:t xml:space="preserve">, bet tā kā minētās nodevas tiek ieskaitītas valsts budžetā, netiek prognozēta </w:t>
            </w:r>
            <w:r w:rsidR="000B1280">
              <w:rPr>
                <w:szCs w:val="28"/>
              </w:rPr>
              <w:t xml:space="preserve">kopējā </w:t>
            </w:r>
            <w:r w:rsidR="00EA341A">
              <w:rPr>
                <w:szCs w:val="28"/>
              </w:rPr>
              <w:t>finansiālā ietekme uz valsts budžet</w:t>
            </w:r>
            <w:r w:rsidR="00BB45A2">
              <w:rPr>
                <w:szCs w:val="28"/>
              </w:rPr>
              <w:t>u</w:t>
            </w:r>
            <w:r w:rsidR="00EA341A">
              <w:rPr>
                <w:szCs w:val="28"/>
              </w:rPr>
              <w:t>.</w:t>
            </w:r>
          </w:p>
          <w:p w14:paraId="53F4A630" w14:textId="16516FBE" w:rsidR="00385DE5" w:rsidRPr="00385DE5" w:rsidRDefault="00385DE5" w:rsidP="006C1349">
            <w:pPr>
              <w:pStyle w:val="BlockText"/>
              <w:tabs>
                <w:tab w:val="left" w:pos="850"/>
              </w:tabs>
              <w:ind w:left="0" w:right="0" w:firstLine="0"/>
              <w:rPr>
                <w:szCs w:val="28"/>
              </w:rPr>
            </w:pPr>
            <w:r w:rsidRPr="000355D7">
              <w:rPr>
                <w:szCs w:val="28"/>
              </w:rPr>
              <w:t>Pēc nekustamā īpašuma pārņemšanas Ministrijas īpašumā un Pārvaldes turējumā par nekustamo īpašumu jāmaksā nekustamā īpašuma nodoklis</w:t>
            </w:r>
            <w:r>
              <w:rPr>
                <w:szCs w:val="28"/>
              </w:rPr>
              <w:t xml:space="preserve"> (2017.gadā – atkarībā no </w:t>
            </w:r>
            <w:r w:rsidRPr="00E66BF3">
              <w:rPr>
                <w:szCs w:val="28"/>
              </w:rPr>
              <w:t xml:space="preserve">atlikušā perioda 2017.gadā, kas nav samaksāts, bet ne vairāk kā 64,40 </w:t>
            </w:r>
            <w:proofErr w:type="spellStart"/>
            <w:r w:rsidRPr="00E66BF3">
              <w:rPr>
                <w:szCs w:val="28"/>
              </w:rPr>
              <w:t>euro</w:t>
            </w:r>
            <w:proofErr w:type="spellEnd"/>
            <w:r w:rsidR="00036FC4">
              <w:rPr>
                <w:szCs w:val="28"/>
              </w:rPr>
              <w:t xml:space="preserve"> (1,5 % no kadastrālās vērtības 4293 </w:t>
            </w:r>
            <w:proofErr w:type="spellStart"/>
            <w:r w:rsidR="00036FC4">
              <w:rPr>
                <w:szCs w:val="28"/>
              </w:rPr>
              <w:t>euro</w:t>
            </w:r>
            <w:proofErr w:type="spellEnd"/>
            <w:r w:rsidRPr="00E66BF3">
              <w:rPr>
                <w:szCs w:val="28"/>
              </w:rPr>
              <w:t>)</w:t>
            </w:r>
            <w:r w:rsidR="00036FC4">
              <w:rPr>
                <w:szCs w:val="28"/>
              </w:rPr>
              <w:t>, 201</w:t>
            </w:r>
            <w:r w:rsidR="006C1349">
              <w:rPr>
                <w:szCs w:val="28"/>
              </w:rPr>
              <w:t xml:space="preserve">8.gadā un turpmāk – 1,5 % no </w:t>
            </w:r>
            <w:r w:rsidR="00540E5A">
              <w:rPr>
                <w:szCs w:val="28"/>
              </w:rPr>
              <w:t xml:space="preserve">nekustamā īpašuma </w:t>
            </w:r>
            <w:r w:rsidR="006C1349">
              <w:rPr>
                <w:szCs w:val="28"/>
              </w:rPr>
              <w:t>kadastrālās vērtības</w:t>
            </w:r>
            <w:r w:rsidRPr="000355D7">
              <w:rPr>
                <w:szCs w:val="28"/>
              </w:rPr>
              <w:t>, kas tiks segts no valsts pamatbudžeta programmas 24.00.00 “Dabas aizsardzība” apakšprogrammas 24.08.00 “Nacionālo parku darbības nodro</w:t>
            </w:r>
            <w:r w:rsidRPr="009A0C98">
              <w:rPr>
                <w:szCs w:val="28"/>
              </w:rPr>
              <w:t>šināšana”</w:t>
            </w:r>
            <w:r>
              <w:rPr>
                <w:szCs w:val="28"/>
              </w:rPr>
              <w:t xml:space="preserve">, pašvaldību budžeta ieņēmumi nemainās (jo mainās tikai </w:t>
            </w:r>
            <w:r w:rsidR="004D28F1">
              <w:rPr>
                <w:szCs w:val="28"/>
              </w:rPr>
              <w:t xml:space="preserve">nodokļa </w:t>
            </w:r>
            <w:r>
              <w:rPr>
                <w:szCs w:val="28"/>
              </w:rPr>
              <w:t>maksātājs).</w:t>
            </w:r>
          </w:p>
        </w:tc>
      </w:tr>
      <w:tr w:rsidR="00385DE5" w:rsidRPr="003F2F7B" w:rsidDel="00057CCE" w14:paraId="70F35C5C" w14:textId="77777777" w:rsidTr="00DD1C63">
        <w:tc>
          <w:tcPr>
            <w:tcW w:w="9498" w:type="dxa"/>
            <w:gridSpan w:val="7"/>
            <w:tcBorders>
              <w:left w:val="single" w:sz="4" w:space="0" w:color="auto"/>
              <w:right w:val="single" w:sz="4" w:space="0" w:color="auto"/>
            </w:tcBorders>
            <w:shd w:val="clear" w:color="auto" w:fill="auto"/>
          </w:tcPr>
          <w:p w14:paraId="4D3E7AA1" w14:textId="77777777" w:rsidR="00385DE5" w:rsidRPr="003F2F7B" w:rsidDel="00057CCE" w:rsidRDefault="00385DE5" w:rsidP="00385DE5">
            <w:pPr>
              <w:jc w:val="center"/>
              <w:rPr>
                <w:rFonts w:eastAsia="Calibri"/>
                <w:b/>
                <w:szCs w:val="28"/>
              </w:rPr>
            </w:pPr>
            <w:r w:rsidRPr="005C47FF">
              <w:rPr>
                <w:rFonts w:eastAsia="Calibri"/>
                <w:b/>
                <w:szCs w:val="28"/>
              </w:rPr>
              <w:t>IV. Tiesību akta projekta ietekme uz spēkā esošo tiesību normu sistēmu</w:t>
            </w:r>
          </w:p>
        </w:tc>
      </w:tr>
      <w:tr w:rsidR="00385DE5" w:rsidRPr="003F2F7B" w:rsidDel="00057CCE" w14:paraId="69BE036D" w14:textId="77777777" w:rsidTr="00DD1C63">
        <w:tc>
          <w:tcPr>
            <w:tcW w:w="9498" w:type="dxa"/>
            <w:gridSpan w:val="7"/>
            <w:tcBorders>
              <w:left w:val="single" w:sz="4" w:space="0" w:color="auto"/>
              <w:right w:val="single" w:sz="4" w:space="0" w:color="auto"/>
            </w:tcBorders>
            <w:shd w:val="clear" w:color="auto" w:fill="auto"/>
          </w:tcPr>
          <w:p w14:paraId="432B2883" w14:textId="77777777" w:rsidR="00385DE5" w:rsidRPr="003F2F7B" w:rsidDel="00057CCE" w:rsidRDefault="00385DE5" w:rsidP="00385DE5">
            <w:pPr>
              <w:jc w:val="center"/>
              <w:rPr>
                <w:rFonts w:eastAsia="Calibri"/>
                <w:b/>
                <w:szCs w:val="28"/>
              </w:rPr>
            </w:pPr>
            <w:r>
              <w:t>Projekts šo jomu neskar</w:t>
            </w:r>
          </w:p>
        </w:tc>
      </w:tr>
      <w:tr w:rsidR="00385DE5" w:rsidRPr="003F2F7B" w:rsidDel="00057CCE" w14:paraId="599F743D" w14:textId="77777777" w:rsidTr="00DD1C63">
        <w:tc>
          <w:tcPr>
            <w:tcW w:w="9498" w:type="dxa"/>
            <w:gridSpan w:val="7"/>
            <w:tcBorders>
              <w:left w:val="nil"/>
              <w:bottom w:val="single" w:sz="4" w:space="0" w:color="auto"/>
              <w:right w:val="nil"/>
            </w:tcBorders>
            <w:shd w:val="clear" w:color="auto" w:fill="auto"/>
          </w:tcPr>
          <w:p w14:paraId="399664A2" w14:textId="77777777" w:rsidR="00385DE5" w:rsidRPr="003F2F7B" w:rsidDel="00057CCE" w:rsidRDefault="00385DE5" w:rsidP="00385DE5">
            <w:pPr>
              <w:jc w:val="center"/>
              <w:rPr>
                <w:rFonts w:eastAsia="Calibri"/>
                <w:b/>
                <w:szCs w:val="28"/>
              </w:rPr>
            </w:pPr>
          </w:p>
        </w:tc>
      </w:tr>
      <w:tr w:rsidR="00385DE5" w:rsidRPr="003F2F7B" w:rsidDel="00057CCE" w14:paraId="5C965D80" w14:textId="77777777" w:rsidTr="00DD1C63">
        <w:tc>
          <w:tcPr>
            <w:tcW w:w="9498" w:type="dxa"/>
            <w:gridSpan w:val="7"/>
            <w:tcBorders>
              <w:left w:val="single" w:sz="4" w:space="0" w:color="auto"/>
              <w:right w:val="single" w:sz="4" w:space="0" w:color="auto"/>
            </w:tcBorders>
            <w:shd w:val="clear" w:color="auto" w:fill="auto"/>
          </w:tcPr>
          <w:p w14:paraId="553B3CBF" w14:textId="77777777" w:rsidR="00385DE5" w:rsidRPr="003F2F7B" w:rsidDel="00057CCE" w:rsidRDefault="00385DE5" w:rsidP="00385DE5">
            <w:pPr>
              <w:jc w:val="center"/>
              <w:rPr>
                <w:rFonts w:eastAsia="Calibri"/>
                <w:b/>
                <w:szCs w:val="28"/>
              </w:rPr>
            </w:pPr>
            <w:r w:rsidRPr="005C47FF">
              <w:rPr>
                <w:rFonts w:eastAsia="Calibri"/>
                <w:b/>
                <w:szCs w:val="28"/>
              </w:rPr>
              <w:t>V. Tiesību akta projekta atbilstība Latvijas Republikas starptautiskajām saistībām</w:t>
            </w:r>
          </w:p>
        </w:tc>
      </w:tr>
      <w:tr w:rsidR="00385DE5" w:rsidRPr="003F2F7B" w:rsidDel="00057CCE" w14:paraId="5250BDFD" w14:textId="77777777" w:rsidTr="00DD1C63">
        <w:tc>
          <w:tcPr>
            <w:tcW w:w="9498" w:type="dxa"/>
            <w:gridSpan w:val="7"/>
            <w:tcBorders>
              <w:left w:val="single" w:sz="4" w:space="0" w:color="auto"/>
              <w:right w:val="single" w:sz="4" w:space="0" w:color="auto"/>
            </w:tcBorders>
            <w:shd w:val="clear" w:color="auto" w:fill="auto"/>
          </w:tcPr>
          <w:p w14:paraId="0F8DE9D8" w14:textId="77777777" w:rsidR="00385DE5" w:rsidRPr="003F2F7B" w:rsidDel="00057CCE" w:rsidRDefault="00385DE5" w:rsidP="00385DE5">
            <w:pPr>
              <w:jc w:val="center"/>
              <w:rPr>
                <w:rFonts w:eastAsia="Calibri"/>
                <w:b/>
                <w:szCs w:val="28"/>
              </w:rPr>
            </w:pPr>
            <w:r>
              <w:t>Projekts šo jomu neskar</w:t>
            </w:r>
          </w:p>
        </w:tc>
      </w:tr>
    </w:tbl>
    <w:p w14:paraId="7E95676D" w14:textId="77777777" w:rsidR="008823EC" w:rsidRPr="00ED283E" w:rsidRDefault="00BD52D3" w:rsidP="0026194A">
      <w:pPr>
        <w:spacing w:before="75" w:after="75"/>
        <w:ind w:firstLine="375"/>
        <w:jc w:val="both"/>
        <w:rPr>
          <w:szCs w:val="28"/>
        </w:rPr>
      </w:pPr>
      <w:r w:rsidRPr="00ED283E">
        <w:rPr>
          <w:szCs w:val="28"/>
        </w:rPr>
        <w:t> </w:t>
      </w:r>
      <w:r w:rsidRPr="0040203C">
        <w:rPr>
          <w:sz w:val="24"/>
          <w:szCs w:val="24"/>
        </w:rPr>
        <w:t> </w:t>
      </w:r>
    </w:p>
    <w:tbl>
      <w:tblPr>
        <w:tblW w:w="97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43"/>
        <w:gridCol w:w="6379"/>
      </w:tblGrid>
      <w:tr w:rsidR="008823EC" w:rsidRPr="003F2F7B" w14:paraId="58295176" w14:textId="77777777" w:rsidTr="005C47FF">
        <w:tc>
          <w:tcPr>
            <w:tcW w:w="9748" w:type="dxa"/>
            <w:gridSpan w:val="3"/>
            <w:shd w:val="clear" w:color="auto" w:fill="auto"/>
          </w:tcPr>
          <w:p w14:paraId="44ADBC9B" w14:textId="77777777" w:rsidR="008823EC" w:rsidRPr="003F2F7B" w:rsidRDefault="008823EC" w:rsidP="005C47FF">
            <w:pPr>
              <w:jc w:val="center"/>
              <w:rPr>
                <w:rFonts w:eastAsia="Calibri"/>
                <w:b/>
                <w:szCs w:val="28"/>
              </w:rPr>
            </w:pPr>
            <w:r w:rsidRPr="003F2F7B">
              <w:rPr>
                <w:rFonts w:eastAsia="Calibri"/>
                <w:b/>
                <w:szCs w:val="28"/>
              </w:rPr>
              <w:t>VI.</w:t>
            </w:r>
            <w:r>
              <w:rPr>
                <w:rFonts w:eastAsia="Calibri"/>
                <w:b/>
                <w:szCs w:val="28"/>
              </w:rPr>
              <w:t xml:space="preserve"> </w:t>
            </w:r>
            <w:r w:rsidRPr="003F2F7B">
              <w:rPr>
                <w:rFonts w:eastAsia="Calibri"/>
                <w:b/>
                <w:szCs w:val="28"/>
              </w:rPr>
              <w:t>Sabiedrības līdzdalība un komunikācijas aktivitātes</w:t>
            </w:r>
          </w:p>
        </w:tc>
      </w:tr>
      <w:tr w:rsidR="008823EC" w:rsidRPr="003F2F7B" w14:paraId="6FCEA685" w14:textId="77777777" w:rsidTr="005C47FF">
        <w:tc>
          <w:tcPr>
            <w:tcW w:w="426" w:type="dxa"/>
            <w:shd w:val="clear" w:color="auto" w:fill="auto"/>
          </w:tcPr>
          <w:p w14:paraId="4426FCD3" w14:textId="77777777" w:rsidR="008823EC" w:rsidRPr="003F2F7B" w:rsidRDefault="008823EC" w:rsidP="005C47FF">
            <w:pPr>
              <w:rPr>
                <w:rFonts w:eastAsia="Calibri"/>
                <w:szCs w:val="28"/>
              </w:rPr>
            </w:pPr>
            <w:r w:rsidRPr="003F2F7B">
              <w:rPr>
                <w:rFonts w:eastAsia="Calibri"/>
                <w:szCs w:val="28"/>
              </w:rPr>
              <w:t>1.</w:t>
            </w:r>
          </w:p>
        </w:tc>
        <w:tc>
          <w:tcPr>
            <w:tcW w:w="2943" w:type="dxa"/>
            <w:shd w:val="clear" w:color="auto" w:fill="auto"/>
          </w:tcPr>
          <w:p w14:paraId="26BE0624" w14:textId="77777777" w:rsidR="008823EC" w:rsidRPr="003F2F7B" w:rsidRDefault="008823EC" w:rsidP="005C47FF">
            <w:pPr>
              <w:rPr>
                <w:rFonts w:eastAsia="Calibri"/>
                <w:szCs w:val="28"/>
              </w:rPr>
            </w:pPr>
            <w:r w:rsidRPr="003F2F7B">
              <w:rPr>
                <w:rFonts w:eastAsia="Calibri"/>
                <w:szCs w:val="28"/>
              </w:rPr>
              <w:t xml:space="preserve">Plānotās sabiedrības līdzdalības un komunikācijas </w:t>
            </w:r>
            <w:r w:rsidRPr="003F2F7B">
              <w:rPr>
                <w:rFonts w:eastAsia="Calibri"/>
                <w:szCs w:val="28"/>
              </w:rPr>
              <w:lastRenderedPageBreak/>
              <w:t>aktivitātes saistībā ar projektu</w:t>
            </w:r>
          </w:p>
        </w:tc>
        <w:tc>
          <w:tcPr>
            <w:tcW w:w="6379" w:type="dxa"/>
            <w:shd w:val="clear" w:color="auto" w:fill="auto"/>
          </w:tcPr>
          <w:p w14:paraId="62FE6499" w14:textId="239A4F1E" w:rsidR="008823EC" w:rsidRPr="003F2F7B" w:rsidRDefault="008823EC" w:rsidP="005C47FF">
            <w:pPr>
              <w:ind w:right="109"/>
              <w:jc w:val="both"/>
              <w:rPr>
                <w:rFonts w:eastAsia="Calibri"/>
                <w:szCs w:val="28"/>
              </w:rPr>
            </w:pPr>
            <w:r w:rsidRPr="003F2F7B">
              <w:rPr>
                <w:rFonts w:eastAsia="Calibri"/>
                <w:szCs w:val="28"/>
              </w:rPr>
              <w:lastRenderedPageBreak/>
              <w:t xml:space="preserve">Atbilstoši Ministru kabineta 2009. gada 25. augusta noteikumiem Nr. 970 </w:t>
            </w:r>
            <w:r>
              <w:rPr>
                <w:rFonts w:eastAsia="Calibri"/>
                <w:szCs w:val="28"/>
              </w:rPr>
              <w:t>“</w:t>
            </w:r>
            <w:r w:rsidRPr="003F2F7B">
              <w:rPr>
                <w:rFonts w:eastAsia="Calibri"/>
                <w:szCs w:val="28"/>
              </w:rPr>
              <w:t xml:space="preserve">Sabiedrības līdzdalības kārtība attīstības plānošanas procesā”, VARAM tīmekļvietnē 2017. gada </w:t>
            </w:r>
            <w:r w:rsidR="00853CB7">
              <w:rPr>
                <w:rFonts w:eastAsia="Calibri"/>
                <w:color w:val="FF0000"/>
                <w:szCs w:val="28"/>
              </w:rPr>
              <w:t>14.</w:t>
            </w:r>
            <w:r w:rsidR="001A0B46">
              <w:rPr>
                <w:rFonts w:eastAsia="Calibri"/>
                <w:color w:val="FF0000"/>
                <w:szCs w:val="28"/>
              </w:rPr>
              <w:t xml:space="preserve"> </w:t>
            </w:r>
            <w:r w:rsidR="001A0B46">
              <w:rPr>
                <w:rFonts w:eastAsia="Calibri"/>
                <w:szCs w:val="28"/>
              </w:rPr>
              <w:t>augustā</w:t>
            </w:r>
            <w:r w:rsidRPr="003F2F7B">
              <w:rPr>
                <w:rFonts w:eastAsia="Calibri"/>
                <w:szCs w:val="28"/>
              </w:rPr>
              <w:t xml:space="preserve"> ir publicēta šo noteikumu </w:t>
            </w:r>
            <w:r w:rsidRPr="003F2F7B">
              <w:rPr>
                <w:rFonts w:eastAsia="Calibri"/>
                <w:szCs w:val="28"/>
              </w:rPr>
              <w:lastRenderedPageBreak/>
              <w:t>1.</w:t>
            </w:r>
            <w:r w:rsidR="00B224AD">
              <w:rPr>
                <w:rFonts w:eastAsia="Calibri"/>
                <w:szCs w:val="28"/>
              </w:rPr>
              <w:t> </w:t>
            </w:r>
            <w:r w:rsidRPr="003F2F7B">
              <w:rPr>
                <w:rFonts w:eastAsia="Calibri"/>
                <w:szCs w:val="28"/>
              </w:rPr>
              <w:t>pielikumā “Paziņojums par līdzdalības iespējām attīstības plānošanas dokumenta vai tiesību akta izstrādes procesā” prasītā informācija.</w:t>
            </w:r>
          </w:p>
          <w:p w14:paraId="54663366" w14:textId="77777777" w:rsidR="008823EC" w:rsidRPr="003F2F7B" w:rsidRDefault="008823EC" w:rsidP="005C47FF">
            <w:pPr>
              <w:jc w:val="both"/>
              <w:rPr>
                <w:rFonts w:eastAsia="Calibri"/>
                <w:szCs w:val="28"/>
              </w:rPr>
            </w:pPr>
            <w:r w:rsidRPr="003F2F7B">
              <w:rPr>
                <w:rFonts w:eastAsia="Calibri"/>
                <w:szCs w:val="28"/>
              </w:rPr>
              <w:t>Rīkojuma projekts un tā anotācija pēc izsludināšanas Valsts sekretāru sanāksmē būs publiski pieejami Ministru kabineta tīmekļvietnē (sadaļā Tiesību aktu projekti) un VARAM tīmekļvietnē.</w:t>
            </w:r>
          </w:p>
        </w:tc>
      </w:tr>
      <w:tr w:rsidR="008823EC" w:rsidRPr="003F2F7B" w14:paraId="0C6BF76D" w14:textId="77777777" w:rsidTr="005C47FF">
        <w:tc>
          <w:tcPr>
            <w:tcW w:w="426" w:type="dxa"/>
            <w:shd w:val="clear" w:color="auto" w:fill="auto"/>
          </w:tcPr>
          <w:p w14:paraId="65D72DAE" w14:textId="77777777" w:rsidR="008823EC" w:rsidRPr="003F2F7B" w:rsidRDefault="008823EC" w:rsidP="005C47FF">
            <w:pPr>
              <w:rPr>
                <w:rFonts w:eastAsia="Calibri"/>
                <w:szCs w:val="28"/>
              </w:rPr>
            </w:pPr>
            <w:r w:rsidRPr="003F2F7B">
              <w:rPr>
                <w:rFonts w:eastAsia="Calibri"/>
                <w:szCs w:val="28"/>
              </w:rPr>
              <w:lastRenderedPageBreak/>
              <w:t>2.</w:t>
            </w:r>
          </w:p>
        </w:tc>
        <w:tc>
          <w:tcPr>
            <w:tcW w:w="2943" w:type="dxa"/>
            <w:shd w:val="clear" w:color="auto" w:fill="auto"/>
          </w:tcPr>
          <w:p w14:paraId="0B0065AC" w14:textId="77777777" w:rsidR="008823EC" w:rsidRPr="003F2F7B" w:rsidRDefault="008823EC" w:rsidP="005C47FF">
            <w:pPr>
              <w:rPr>
                <w:rFonts w:eastAsia="Calibri"/>
                <w:szCs w:val="28"/>
              </w:rPr>
            </w:pPr>
            <w:r w:rsidRPr="003F2F7B">
              <w:rPr>
                <w:rFonts w:eastAsia="Calibri"/>
                <w:szCs w:val="28"/>
              </w:rPr>
              <w:t>Sabiedrības līdzdalība projekta izstrādē</w:t>
            </w:r>
          </w:p>
        </w:tc>
        <w:tc>
          <w:tcPr>
            <w:tcW w:w="6379" w:type="dxa"/>
            <w:shd w:val="clear" w:color="auto" w:fill="auto"/>
          </w:tcPr>
          <w:p w14:paraId="7988B3F0" w14:textId="71D9EFDD" w:rsidR="008823EC" w:rsidRPr="003F2F7B" w:rsidRDefault="008823EC" w:rsidP="00985D48">
            <w:pPr>
              <w:ind w:right="109"/>
              <w:jc w:val="both"/>
              <w:rPr>
                <w:rFonts w:eastAsia="Calibri"/>
                <w:szCs w:val="28"/>
              </w:rPr>
            </w:pPr>
            <w:r w:rsidRPr="003F2F7B">
              <w:rPr>
                <w:rFonts w:eastAsia="Calibri"/>
                <w:szCs w:val="28"/>
              </w:rPr>
              <w:t xml:space="preserve">Rīkojuma projekta būtība skar Ministru kabineta kompetenci lemt par to, vai </w:t>
            </w:r>
            <w:r w:rsidR="001A0B46">
              <w:rPr>
                <w:rFonts w:eastAsia="Calibri"/>
                <w:szCs w:val="28"/>
              </w:rPr>
              <w:t>pieņemt dāvinājumu</w:t>
            </w:r>
            <w:r w:rsidRPr="003F2F7B">
              <w:rPr>
                <w:rFonts w:eastAsia="Calibri"/>
                <w:szCs w:val="28"/>
              </w:rPr>
              <w:t>.</w:t>
            </w:r>
          </w:p>
        </w:tc>
      </w:tr>
      <w:tr w:rsidR="008823EC" w:rsidRPr="003F2F7B" w14:paraId="34839D6E" w14:textId="77777777" w:rsidTr="005C47FF">
        <w:tc>
          <w:tcPr>
            <w:tcW w:w="426" w:type="dxa"/>
            <w:shd w:val="clear" w:color="auto" w:fill="auto"/>
          </w:tcPr>
          <w:p w14:paraId="24FFC02E" w14:textId="77777777" w:rsidR="008823EC" w:rsidRPr="003F2F7B" w:rsidRDefault="008823EC" w:rsidP="005C47FF">
            <w:pPr>
              <w:rPr>
                <w:rFonts w:eastAsia="Calibri"/>
                <w:szCs w:val="28"/>
              </w:rPr>
            </w:pPr>
            <w:r w:rsidRPr="003F2F7B">
              <w:rPr>
                <w:rFonts w:eastAsia="Calibri"/>
                <w:szCs w:val="28"/>
              </w:rPr>
              <w:t>3.</w:t>
            </w:r>
          </w:p>
        </w:tc>
        <w:tc>
          <w:tcPr>
            <w:tcW w:w="2943" w:type="dxa"/>
            <w:shd w:val="clear" w:color="auto" w:fill="auto"/>
          </w:tcPr>
          <w:p w14:paraId="027C654E" w14:textId="77777777" w:rsidR="008823EC" w:rsidRPr="003F2F7B" w:rsidRDefault="008823EC" w:rsidP="005C47FF">
            <w:pPr>
              <w:rPr>
                <w:rFonts w:eastAsia="Calibri"/>
                <w:szCs w:val="28"/>
              </w:rPr>
            </w:pPr>
            <w:r w:rsidRPr="003F2F7B">
              <w:rPr>
                <w:rFonts w:eastAsia="Calibri"/>
                <w:szCs w:val="28"/>
              </w:rPr>
              <w:t>Sabiedrības līdzdalības rezultāti</w:t>
            </w:r>
          </w:p>
        </w:tc>
        <w:tc>
          <w:tcPr>
            <w:tcW w:w="6379" w:type="dxa"/>
            <w:shd w:val="clear" w:color="auto" w:fill="auto"/>
          </w:tcPr>
          <w:p w14:paraId="79470479" w14:textId="77777777" w:rsidR="008823EC" w:rsidRPr="003F2F7B" w:rsidRDefault="008823EC" w:rsidP="005C47FF">
            <w:pPr>
              <w:jc w:val="both"/>
              <w:rPr>
                <w:rFonts w:eastAsia="Calibri"/>
                <w:szCs w:val="28"/>
              </w:rPr>
            </w:pPr>
            <w:r w:rsidRPr="003F2F7B">
              <w:rPr>
                <w:rFonts w:eastAsia="Calibri"/>
                <w:szCs w:val="28"/>
              </w:rPr>
              <w:t>Rīkojuma projektā risinātie jautājumi neparedz ieviest izmaiņas, kas varētu ietekmēt sabiedrības intereses.</w:t>
            </w:r>
          </w:p>
        </w:tc>
      </w:tr>
      <w:tr w:rsidR="008823EC" w:rsidRPr="003F2F7B" w14:paraId="1D8E7E6B" w14:textId="77777777" w:rsidTr="005C47FF">
        <w:tc>
          <w:tcPr>
            <w:tcW w:w="426" w:type="dxa"/>
            <w:tcBorders>
              <w:bottom w:val="single" w:sz="4" w:space="0" w:color="auto"/>
            </w:tcBorders>
            <w:shd w:val="clear" w:color="auto" w:fill="auto"/>
          </w:tcPr>
          <w:p w14:paraId="383B5F1A" w14:textId="77777777" w:rsidR="008823EC" w:rsidRPr="003F2F7B" w:rsidRDefault="008823EC" w:rsidP="005C47FF">
            <w:pPr>
              <w:rPr>
                <w:rFonts w:eastAsia="Calibri"/>
                <w:szCs w:val="28"/>
              </w:rPr>
            </w:pPr>
            <w:r w:rsidRPr="003F2F7B">
              <w:rPr>
                <w:rFonts w:eastAsia="Calibri"/>
                <w:szCs w:val="28"/>
              </w:rPr>
              <w:t>4.</w:t>
            </w:r>
          </w:p>
        </w:tc>
        <w:tc>
          <w:tcPr>
            <w:tcW w:w="2943" w:type="dxa"/>
            <w:tcBorders>
              <w:bottom w:val="single" w:sz="4" w:space="0" w:color="auto"/>
            </w:tcBorders>
            <w:shd w:val="clear" w:color="auto" w:fill="auto"/>
          </w:tcPr>
          <w:p w14:paraId="58BC2FA0" w14:textId="77777777" w:rsidR="008823EC" w:rsidRPr="003F2F7B" w:rsidRDefault="008823EC" w:rsidP="005C47FF">
            <w:pPr>
              <w:rPr>
                <w:rFonts w:eastAsia="Calibri"/>
                <w:szCs w:val="28"/>
              </w:rPr>
            </w:pPr>
            <w:r w:rsidRPr="003F2F7B">
              <w:rPr>
                <w:rFonts w:eastAsia="Calibri"/>
                <w:szCs w:val="28"/>
              </w:rPr>
              <w:t>Cita informācija</w:t>
            </w:r>
          </w:p>
        </w:tc>
        <w:tc>
          <w:tcPr>
            <w:tcW w:w="6379" w:type="dxa"/>
            <w:tcBorders>
              <w:bottom w:val="single" w:sz="4" w:space="0" w:color="auto"/>
            </w:tcBorders>
            <w:shd w:val="clear" w:color="auto" w:fill="auto"/>
          </w:tcPr>
          <w:p w14:paraId="467BFC65" w14:textId="77777777" w:rsidR="008823EC" w:rsidRPr="003F2F7B" w:rsidRDefault="008823EC" w:rsidP="005C47FF">
            <w:pPr>
              <w:jc w:val="both"/>
              <w:rPr>
                <w:rFonts w:eastAsia="Calibri"/>
                <w:szCs w:val="28"/>
              </w:rPr>
            </w:pPr>
            <w:r w:rsidRPr="003F2F7B">
              <w:rPr>
                <w:rFonts w:eastAsia="Calibri"/>
                <w:szCs w:val="28"/>
              </w:rPr>
              <w:t>Saskaņā ar Oficiālo publikāciju un tiesiskās informācijas likuma 2. panta pirmo daļu un 3. panta pirmo daļu tiesību aktus publicē oficiālajā izdevumā “Latvijas Vēstnesis”, tos publicējot elektroniski tīmekļvietnē www.vestnesis.lv.</w:t>
            </w:r>
          </w:p>
        </w:tc>
      </w:tr>
    </w:tbl>
    <w:p w14:paraId="7E948C89" w14:textId="77777777" w:rsidR="00BD52D3" w:rsidRPr="00ED283E" w:rsidRDefault="00BD52D3" w:rsidP="0026194A">
      <w:pPr>
        <w:spacing w:before="75" w:after="75"/>
        <w:ind w:firstLine="375"/>
        <w:jc w:val="both"/>
        <w:rPr>
          <w:szCs w:val="28"/>
        </w:rPr>
      </w:pPr>
    </w:p>
    <w:tbl>
      <w:tblPr>
        <w:tblW w:w="5200" w:type="pct"/>
        <w:tblInd w:w="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30" w:type="dxa"/>
          <w:left w:w="30" w:type="dxa"/>
          <w:bottom w:w="30" w:type="dxa"/>
          <w:right w:w="30" w:type="dxa"/>
        </w:tblCellMar>
        <w:tblLook w:val="04A0" w:firstRow="1" w:lastRow="0" w:firstColumn="1" w:lastColumn="0" w:noHBand="0" w:noVBand="1"/>
      </w:tblPr>
      <w:tblGrid>
        <w:gridCol w:w="554"/>
        <w:gridCol w:w="2511"/>
        <w:gridCol w:w="6359"/>
      </w:tblGrid>
      <w:tr w:rsidR="005D01CE" w:rsidRPr="00C54202" w14:paraId="6F79DB08" w14:textId="77777777" w:rsidTr="00DD1C63">
        <w:tc>
          <w:tcPr>
            <w:tcW w:w="5000" w:type="pct"/>
            <w:gridSpan w:val="3"/>
            <w:hideMark/>
          </w:tcPr>
          <w:p w14:paraId="23E0506B" w14:textId="77777777" w:rsidR="005D01CE" w:rsidRPr="00C54202" w:rsidRDefault="005D01CE" w:rsidP="00CD7CAF">
            <w:pPr>
              <w:jc w:val="center"/>
              <w:rPr>
                <w:b/>
                <w:bCs/>
                <w:szCs w:val="28"/>
              </w:rPr>
            </w:pPr>
            <w:r w:rsidRPr="00C54202">
              <w:rPr>
                <w:b/>
                <w:bCs/>
                <w:szCs w:val="28"/>
              </w:rPr>
              <w:t>VII. Tiesību akta projekta izpildes nodrošināšana un tās ietekme uz institūcijām</w:t>
            </w:r>
          </w:p>
        </w:tc>
      </w:tr>
      <w:tr w:rsidR="005D01CE" w:rsidRPr="00C54202" w14:paraId="234DAA77" w14:textId="77777777" w:rsidTr="00DD1C63">
        <w:tc>
          <w:tcPr>
            <w:tcW w:w="294" w:type="pct"/>
            <w:hideMark/>
          </w:tcPr>
          <w:p w14:paraId="30D4AAA8" w14:textId="77777777" w:rsidR="005D01CE" w:rsidRPr="00C54202" w:rsidRDefault="005D01CE" w:rsidP="00CD7CAF">
            <w:pPr>
              <w:rPr>
                <w:szCs w:val="28"/>
              </w:rPr>
            </w:pPr>
            <w:r w:rsidRPr="00C54202">
              <w:rPr>
                <w:szCs w:val="28"/>
              </w:rPr>
              <w:t>1.</w:t>
            </w:r>
          </w:p>
        </w:tc>
        <w:tc>
          <w:tcPr>
            <w:tcW w:w="1332" w:type="pct"/>
            <w:hideMark/>
          </w:tcPr>
          <w:p w14:paraId="69A3C678" w14:textId="77777777" w:rsidR="005D01CE" w:rsidRPr="00C54202" w:rsidRDefault="005D01CE" w:rsidP="00CD7CAF">
            <w:pPr>
              <w:rPr>
                <w:szCs w:val="28"/>
              </w:rPr>
            </w:pPr>
            <w:r w:rsidRPr="00C54202">
              <w:rPr>
                <w:szCs w:val="28"/>
              </w:rPr>
              <w:t>Projekta izpildē iesaistītās institūcijas</w:t>
            </w:r>
          </w:p>
        </w:tc>
        <w:tc>
          <w:tcPr>
            <w:tcW w:w="3373" w:type="pct"/>
            <w:hideMark/>
          </w:tcPr>
          <w:p w14:paraId="4B01E8D2" w14:textId="77777777" w:rsidR="005D01CE" w:rsidRPr="00C54202" w:rsidRDefault="001A0B46" w:rsidP="00CD7CAF">
            <w:pPr>
              <w:jc w:val="both"/>
              <w:rPr>
                <w:szCs w:val="28"/>
                <w:highlight w:val="lightGray"/>
              </w:rPr>
            </w:pPr>
            <w:r>
              <w:rPr>
                <w:iCs/>
                <w:szCs w:val="28"/>
              </w:rPr>
              <w:t>Ministrija, Pārvalde</w:t>
            </w:r>
          </w:p>
        </w:tc>
      </w:tr>
      <w:tr w:rsidR="005D01CE" w:rsidRPr="00C54202" w14:paraId="422D450D" w14:textId="77777777" w:rsidTr="00DD1C63">
        <w:tc>
          <w:tcPr>
            <w:tcW w:w="294" w:type="pct"/>
            <w:hideMark/>
          </w:tcPr>
          <w:p w14:paraId="75915977" w14:textId="77777777" w:rsidR="005D01CE" w:rsidRPr="00C54202" w:rsidRDefault="005D01CE" w:rsidP="00CD7CAF">
            <w:pPr>
              <w:rPr>
                <w:szCs w:val="28"/>
              </w:rPr>
            </w:pPr>
            <w:r w:rsidRPr="00C54202">
              <w:rPr>
                <w:szCs w:val="28"/>
              </w:rPr>
              <w:t>2.</w:t>
            </w:r>
          </w:p>
        </w:tc>
        <w:tc>
          <w:tcPr>
            <w:tcW w:w="1332" w:type="pct"/>
            <w:hideMark/>
          </w:tcPr>
          <w:p w14:paraId="642219F2" w14:textId="77777777" w:rsidR="008823EC" w:rsidRPr="003F2F7B" w:rsidRDefault="008823EC" w:rsidP="008823EC">
            <w:pPr>
              <w:rPr>
                <w:rFonts w:eastAsia="Calibri"/>
                <w:szCs w:val="28"/>
              </w:rPr>
            </w:pPr>
            <w:r w:rsidRPr="003F2F7B">
              <w:rPr>
                <w:rFonts w:eastAsia="Calibri"/>
                <w:szCs w:val="28"/>
              </w:rPr>
              <w:t xml:space="preserve">Projekta izpildes ietekme uz pārvaldes funkcijām un institucionālo struktūru. </w:t>
            </w:r>
          </w:p>
          <w:p w14:paraId="0B4A5287" w14:textId="77777777" w:rsidR="005D01CE" w:rsidRPr="00C54202" w:rsidRDefault="008823EC" w:rsidP="008823EC">
            <w:pPr>
              <w:rPr>
                <w:szCs w:val="28"/>
              </w:rPr>
            </w:pPr>
            <w:r w:rsidRPr="003F2F7B">
              <w:rPr>
                <w:rFonts w:eastAsia="Calibri"/>
                <w:szCs w:val="28"/>
              </w:rPr>
              <w:t>Jaunu institūciju izveide, esošu institūciju likvidācija vai reorganizācija, to ietekme uz institūcijas cilvēkresursiem</w:t>
            </w:r>
          </w:p>
        </w:tc>
        <w:tc>
          <w:tcPr>
            <w:tcW w:w="3373" w:type="pct"/>
            <w:hideMark/>
          </w:tcPr>
          <w:p w14:paraId="3D4CB0F4" w14:textId="1704CD84" w:rsidR="005D01CE" w:rsidRPr="00C54202" w:rsidRDefault="001A0B46">
            <w:pPr>
              <w:jc w:val="both"/>
              <w:rPr>
                <w:szCs w:val="28"/>
                <w:highlight w:val="lightGray"/>
              </w:rPr>
            </w:pPr>
            <w:r>
              <w:rPr>
                <w:szCs w:val="28"/>
              </w:rPr>
              <w:t>Pārvalde</w:t>
            </w:r>
            <w:r w:rsidR="0026194A">
              <w:rPr>
                <w:szCs w:val="28"/>
              </w:rPr>
              <w:t xml:space="preserve"> veiks savas normatīvajos aktos </w:t>
            </w:r>
            <w:r w:rsidR="000D0BD0">
              <w:rPr>
                <w:szCs w:val="28"/>
              </w:rPr>
              <w:t xml:space="preserve">noteikto </w:t>
            </w:r>
            <w:r w:rsidR="0026194A">
              <w:rPr>
                <w:szCs w:val="28"/>
              </w:rPr>
              <w:t>funkcijas</w:t>
            </w:r>
            <w:r w:rsidR="000D0BD0">
              <w:rPr>
                <w:szCs w:val="28"/>
              </w:rPr>
              <w:t xml:space="preserve"> - </w:t>
            </w:r>
            <w:r w:rsidR="001A18F4">
              <w:rPr>
                <w:szCs w:val="28"/>
              </w:rPr>
              <w:t xml:space="preserve">apsaimniekot Ministrijas īpašumā un Pārvaldes turējumā nodoto </w:t>
            </w:r>
            <w:r w:rsidR="00DD1C63">
              <w:rPr>
                <w:szCs w:val="28"/>
              </w:rPr>
              <w:t>nekustamo īpašumu</w:t>
            </w:r>
            <w:r w:rsidR="0006325B">
              <w:rPr>
                <w:szCs w:val="28"/>
              </w:rPr>
              <w:t>.</w:t>
            </w:r>
          </w:p>
        </w:tc>
      </w:tr>
      <w:tr w:rsidR="005D01CE" w:rsidRPr="00C54202" w14:paraId="13F20EBC" w14:textId="77777777" w:rsidTr="00DD1C63">
        <w:tc>
          <w:tcPr>
            <w:tcW w:w="294" w:type="pct"/>
            <w:hideMark/>
          </w:tcPr>
          <w:p w14:paraId="5DBED757" w14:textId="77777777" w:rsidR="005D01CE" w:rsidRPr="00C54202" w:rsidRDefault="008823EC" w:rsidP="00CD7CAF">
            <w:pPr>
              <w:rPr>
                <w:szCs w:val="28"/>
              </w:rPr>
            </w:pPr>
            <w:r>
              <w:rPr>
                <w:szCs w:val="28"/>
              </w:rPr>
              <w:t>3.</w:t>
            </w:r>
          </w:p>
        </w:tc>
        <w:tc>
          <w:tcPr>
            <w:tcW w:w="1332" w:type="pct"/>
            <w:hideMark/>
          </w:tcPr>
          <w:p w14:paraId="7D5819B7" w14:textId="77777777" w:rsidR="005D01CE" w:rsidRPr="00C54202" w:rsidRDefault="005D01CE" w:rsidP="00CD7CAF">
            <w:pPr>
              <w:rPr>
                <w:szCs w:val="28"/>
              </w:rPr>
            </w:pPr>
            <w:r w:rsidRPr="00C54202">
              <w:rPr>
                <w:szCs w:val="28"/>
              </w:rPr>
              <w:t>Cita informācija</w:t>
            </w:r>
          </w:p>
        </w:tc>
        <w:tc>
          <w:tcPr>
            <w:tcW w:w="3373" w:type="pct"/>
            <w:hideMark/>
          </w:tcPr>
          <w:p w14:paraId="37DF7E03" w14:textId="77777777" w:rsidR="005D01CE" w:rsidRPr="00C54202" w:rsidRDefault="005D01CE" w:rsidP="00CD7CAF">
            <w:pPr>
              <w:rPr>
                <w:szCs w:val="28"/>
              </w:rPr>
            </w:pPr>
            <w:r w:rsidRPr="00C54202">
              <w:rPr>
                <w:szCs w:val="28"/>
              </w:rPr>
              <w:t>Nav.</w:t>
            </w:r>
          </w:p>
        </w:tc>
      </w:tr>
    </w:tbl>
    <w:p w14:paraId="482C0D60" w14:textId="77777777" w:rsidR="00BD52D3" w:rsidRDefault="00BD52D3" w:rsidP="00BD52D3">
      <w:pPr>
        <w:spacing w:before="75" w:after="75"/>
        <w:ind w:firstLine="375"/>
        <w:jc w:val="both"/>
        <w:rPr>
          <w:szCs w:val="28"/>
        </w:rPr>
      </w:pPr>
      <w:r w:rsidRPr="00ED283E">
        <w:rPr>
          <w:szCs w:val="28"/>
        </w:rPr>
        <w:t> </w:t>
      </w:r>
    </w:p>
    <w:p w14:paraId="5D09F5DD" w14:textId="77777777" w:rsidR="00BD52D3" w:rsidRPr="00ED283E" w:rsidRDefault="00BD52D3" w:rsidP="00BD52D3">
      <w:pPr>
        <w:spacing w:before="75" w:after="75"/>
        <w:ind w:firstLine="375"/>
        <w:jc w:val="both"/>
        <w:rPr>
          <w:szCs w:val="28"/>
        </w:rPr>
      </w:pPr>
    </w:p>
    <w:p w14:paraId="6229FEE4" w14:textId="77777777" w:rsidR="0012378E" w:rsidRDefault="0012378E" w:rsidP="004D5AB4">
      <w:pPr>
        <w:pStyle w:val="PlainText"/>
        <w:rPr>
          <w:rFonts w:ascii="Times New Roman" w:hAnsi="Times New Roman" w:cs="Times New Roman"/>
          <w:sz w:val="28"/>
          <w:szCs w:val="28"/>
          <w:lang w:val="lv-LV"/>
        </w:rPr>
      </w:pPr>
      <w:r>
        <w:rPr>
          <w:rFonts w:ascii="Times New Roman" w:hAnsi="Times New Roman" w:cs="Times New Roman"/>
          <w:sz w:val="28"/>
          <w:szCs w:val="28"/>
          <w:lang w:val="lv-LV"/>
        </w:rPr>
        <w:t>Vides aizsardzības un reģionālās attīstības ministr</w:t>
      </w:r>
      <w:r w:rsidR="004D5AB4">
        <w:rPr>
          <w:rFonts w:ascii="Times New Roman" w:hAnsi="Times New Roman" w:cs="Times New Roman"/>
          <w:sz w:val="28"/>
          <w:szCs w:val="28"/>
          <w:lang w:val="lv-LV"/>
        </w:rPr>
        <w:t>s</w:t>
      </w:r>
      <w:r>
        <w:rPr>
          <w:rFonts w:ascii="Times New Roman" w:hAnsi="Times New Roman" w:cs="Times New Roman"/>
          <w:sz w:val="28"/>
          <w:szCs w:val="28"/>
          <w:lang w:val="lv-LV"/>
        </w:rPr>
        <w:t xml:space="preserve"> </w:t>
      </w:r>
      <w:r w:rsidR="004D5AB4">
        <w:rPr>
          <w:rFonts w:ascii="Times New Roman" w:hAnsi="Times New Roman" w:cs="Times New Roman"/>
          <w:sz w:val="28"/>
          <w:szCs w:val="28"/>
          <w:lang w:val="lv-LV"/>
        </w:rPr>
        <w:t xml:space="preserve">               </w:t>
      </w:r>
      <w:proofErr w:type="spellStart"/>
      <w:r w:rsidR="008823EC">
        <w:rPr>
          <w:rFonts w:ascii="Times New Roman" w:hAnsi="Times New Roman" w:cs="Times New Roman"/>
          <w:sz w:val="28"/>
          <w:szCs w:val="28"/>
          <w:lang w:val="lv-LV"/>
        </w:rPr>
        <w:t>K.Gerhards</w:t>
      </w:r>
      <w:proofErr w:type="spellEnd"/>
    </w:p>
    <w:p w14:paraId="00246858" w14:textId="77777777" w:rsidR="00184FD1" w:rsidRDefault="00184FD1" w:rsidP="00184FD1">
      <w:pPr>
        <w:tabs>
          <w:tab w:val="left" w:pos="6840"/>
        </w:tabs>
        <w:ind w:firstLine="720"/>
        <w:rPr>
          <w:szCs w:val="28"/>
        </w:rPr>
      </w:pPr>
      <w:r>
        <w:rPr>
          <w:szCs w:val="28"/>
        </w:rPr>
        <w:tab/>
      </w:r>
      <w:r>
        <w:rPr>
          <w:szCs w:val="28"/>
        </w:rPr>
        <w:tab/>
      </w:r>
    </w:p>
    <w:p w14:paraId="0FC3A095" w14:textId="77777777" w:rsidR="00BD52D3" w:rsidRPr="00ED283E" w:rsidRDefault="00BD52D3" w:rsidP="00BD52D3">
      <w:pPr>
        <w:rPr>
          <w:szCs w:val="28"/>
        </w:rPr>
      </w:pPr>
    </w:p>
    <w:p w14:paraId="5EF438D7" w14:textId="77777777" w:rsidR="0026194A" w:rsidRDefault="0026194A" w:rsidP="00BD52D3">
      <w:pPr>
        <w:rPr>
          <w:szCs w:val="28"/>
        </w:rPr>
      </w:pPr>
    </w:p>
    <w:p w14:paraId="5A35679A" w14:textId="77777777" w:rsidR="00BD52D3" w:rsidRDefault="00BD52D3" w:rsidP="00BD52D3">
      <w:pPr>
        <w:rPr>
          <w:szCs w:val="28"/>
        </w:rPr>
      </w:pPr>
      <w:r w:rsidRPr="00ED283E">
        <w:rPr>
          <w:szCs w:val="28"/>
        </w:rPr>
        <w:tab/>
      </w:r>
    </w:p>
    <w:p w14:paraId="4DD466A5" w14:textId="77777777" w:rsidR="00BD52D3" w:rsidRPr="009372F6" w:rsidRDefault="009372F6" w:rsidP="00BD52D3">
      <w:pPr>
        <w:rPr>
          <w:bCs/>
          <w:iCs/>
          <w:sz w:val="20"/>
          <w:szCs w:val="20"/>
        </w:rPr>
      </w:pPr>
      <w:proofErr w:type="spellStart"/>
      <w:r w:rsidRPr="009372F6">
        <w:rPr>
          <w:bCs/>
          <w:iCs/>
          <w:sz w:val="20"/>
          <w:szCs w:val="20"/>
        </w:rPr>
        <w:t>M.Priede</w:t>
      </w:r>
      <w:proofErr w:type="spellEnd"/>
    </w:p>
    <w:p w14:paraId="6872B0C4" w14:textId="77777777" w:rsidR="008A4239" w:rsidRDefault="00BD52D3">
      <w:r w:rsidRPr="009372F6">
        <w:rPr>
          <w:sz w:val="20"/>
          <w:szCs w:val="20"/>
        </w:rPr>
        <w:t>67026</w:t>
      </w:r>
      <w:r w:rsidR="009372F6" w:rsidRPr="009372F6">
        <w:rPr>
          <w:sz w:val="20"/>
          <w:szCs w:val="20"/>
        </w:rPr>
        <w:t>915</w:t>
      </w:r>
      <w:r w:rsidRPr="009372F6">
        <w:rPr>
          <w:sz w:val="20"/>
          <w:szCs w:val="20"/>
        </w:rPr>
        <w:t xml:space="preserve">; </w:t>
      </w:r>
      <w:hyperlink r:id="rId7" w:history="1">
        <w:r w:rsidR="009372F6" w:rsidRPr="009372F6">
          <w:rPr>
            <w:rStyle w:val="Hyperlink"/>
            <w:bCs/>
            <w:iCs/>
            <w:sz w:val="20"/>
            <w:szCs w:val="20"/>
          </w:rPr>
          <w:t>Marite.Priede@varam.gov.lv</w:t>
        </w:r>
      </w:hyperlink>
      <w:r w:rsidRPr="009372F6">
        <w:rPr>
          <w:sz w:val="20"/>
          <w:szCs w:val="20"/>
        </w:rPr>
        <w:t xml:space="preserve"> </w:t>
      </w:r>
    </w:p>
    <w:sectPr w:rsidR="008A4239" w:rsidSect="0026194A">
      <w:headerReference w:type="even" r:id="rId8"/>
      <w:headerReference w:type="default" r:id="rId9"/>
      <w:footerReference w:type="default" r:id="rId10"/>
      <w:footerReference w:type="first" r:id="rId11"/>
      <w:pgSz w:w="11906" w:h="16838"/>
      <w:pgMar w:top="1134" w:right="1133"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F955B" w14:textId="77777777" w:rsidR="001247FD" w:rsidRDefault="001247FD" w:rsidP="00BE25B8">
      <w:r>
        <w:separator/>
      </w:r>
    </w:p>
  </w:endnote>
  <w:endnote w:type="continuationSeparator" w:id="0">
    <w:p w14:paraId="5A567EB7" w14:textId="77777777" w:rsidR="001247FD" w:rsidRDefault="001247FD" w:rsidP="00BE2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2D4EB" w14:textId="5BF332FB" w:rsidR="00EF12AF" w:rsidRPr="00065024" w:rsidRDefault="00492566" w:rsidP="008823EC">
    <w:pPr>
      <w:jc w:val="both"/>
      <w:rPr>
        <w:sz w:val="24"/>
        <w:szCs w:val="24"/>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VARAMAnot_070817_Antonijasplava</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CE44D" w14:textId="4F4C2B98" w:rsidR="00E91113" w:rsidRPr="009372F6" w:rsidRDefault="00492566" w:rsidP="00E91113">
    <w:pPr>
      <w:jc w:val="both"/>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VARAMAnot_070817_Antonijasplava</w:t>
    </w:r>
    <w:r>
      <w:rPr>
        <w:sz w:val="20"/>
        <w:szCs w:val="20"/>
      </w:rPr>
      <w:fldChar w:fldCharType="end"/>
    </w:r>
  </w:p>
  <w:p w14:paraId="64CF2E5E" w14:textId="77777777" w:rsidR="00EF12AF" w:rsidRPr="00065024" w:rsidRDefault="00EF12AF" w:rsidP="00EF12AF">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0B3D9" w14:textId="77777777" w:rsidR="001247FD" w:rsidRDefault="001247FD" w:rsidP="00BE25B8">
      <w:r>
        <w:separator/>
      </w:r>
    </w:p>
  </w:footnote>
  <w:footnote w:type="continuationSeparator" w:id="0">
    <w:p w14:paraId="79136861" w14:textId="77777777" w:rsidR="001247FD" w:rsidRDefault="001247FD" w:rsidP="00BE2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F4B15" w14:textId="77777777" w:rsidR="00EF12AF" w:rsidRDefault="00085AEF" w:rsidP="00EF12AF">
    <w:pPr>
      <w:pStyle w:val="Header"/>
      <w:framePr w:wrap="around" w:vAnchor="text" w:hAnchor="margin" w:xAlign="center" w:y="1"/>
      <w:rPr>
        <w:rStyle w:val="PageNumber"/>
      </w:rPr>
    </w:pPr>
    <w:r>
      <w:rPr>
        <w:rStyle w:val="PageNumber"/>
      </w:rPr>
      <w:fldChar w:fldCharType="begin"/>
    </w:r>
    <w:r w:rsidR="00EF12AF">
      <w:rPr>
        <w:rStyle w:val="PageNumber"/>
      </w:rPr>
      <w:instrText xml:space="preserve">PAGE  </w:instrText>
    </w:r>
    <w:r>
      <w:rPr>
        <w:rStyle w:val="PageNumber"/>
      </w:rPr>
      <w:fldChar w:fldCharType="end"/>
    </w:r>
  </w:p>
  <w:p w14:paraId="54A056E5" w14:textId="77777777" w:rsidR="00EF12AF" w:rsidRDefault="00EF12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9E951" w14:textId="77777777" w:rsidR="00EF12AF" w:rsidRDefault="00085AEF" w:rsidP="00EF12AF">
    <w:pPr>
      <w:pStyle w:val="Header"/>
      <w:framePr w:wrap="around" w:vAnchor="text" w:hAnchor="margin" w:xAlign="center" w:y="1"/>
      <w:rPr>
        <w:rStyle w:val="PageNumber"/>
      </w:rPr>
    </w:pPr>
    <w:r>
      <w:rPr>
        <w:rStyle w:val="PageNumber"/>
      </w:rPr>
      <w:fldChar w:fldCharType="begin"/>
    </w:r>
    <w:r w:rsidR="00EF12AF">
      <w:rPr>
        <w:rStyle w:val="PageNumber"/>
      </w:rPr>
      <w:instrText xml:space="preserve">PAGE  </w:instrText>
    </w:r>
    <w:r>
      <w:rPr>
        <w:rStyle w:val="PageNumber"/>
      </w:rPr>
      <w:fldChar w:fldCharType="separate"/>
    </w:r>
    <w:r w:rsidR="00D66EE7">
      <w:rPr>
        <w:rStyle w:val="PageNumber"/>
        <w:noProof/>
      </w:rPr>
      <w:t>2</w:t>
    </w:r>
    <w:r>
      <w:rPr>
        <w:rStyle w:val="PageNumber"/>
      </w:rPr>
      <w:fldChar w:fldCharType="end"/>
    </w:r>
  </w:p>
  <w:p w14:paraId="6C78BFEF" w14:textId="77777777" w:rsidR="00EF12AF" w:rsidRDefault="00EF12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904A2"/>
    <w:multiLevelType w:val="hybridMultilevel"/>
    <w:tmpl w:val="E44E1CE6"/>
    <w:lvl w:ilvl="0" w:tplc="330EFB9A">
      <w:start w:val="1"/>
      <w:numFmt w:val="decimal"/>
      <w:lvlText w:val="%1."/>
      <w:lvlJc w:val="left"/>
      <w:pPr>
        <w:ind w:left="473" w:hanging="360"/>
      </w:pPr>
      <w:rPr>
        <w:rFonts w:hint="default"/>
      </w:rPr>
    </w:lvl>
    <w:lvl w:ilvl="1" w:tplc="04260019" w:tentative="1">
      <w:start w:val="1"/>
      <w:numFmt w:val="lowerLetter"/>
      <w:lvlText w:val="%2."/>
      <w:lvlJc w:val="left"/>
      <w:pPr>
        <w:ind w:left="1193" w:hanging="360"/>
      </w:pPr>
    </w:lvl>
    <w:lvl w:ilvl="2" w:tplc="0426001B" w:tentative="1">
      <w:start w:val="1"/>
      <w:numFmt w:val="lowerRoman"/>
      <w:lvlText w:val="%3."/>
      <w:lvlJc w:val="right"/>
      <w:pPr>
        <w:ind w:left="1913" w:hanging="180"/>
      </w:pPr>
    </w:lvl>
    <w:lvl w:ilvl="3" w:tplc="0426000F" w:tentative="1">
      <w:start w:val="1"/>
      <w:numFmt w:val="decimal"/>
      <w:lvlText w:val="%4."/>
      <w:lvlJc w:val="left"/>
      <w:pPr>
        <w:ind w:left="2633" w:hanging="360"/>
      </w:pPr>
    </w:lvl>
    <w:lvl w:ilvl="4" w:tplc="04260019" w:tentative="1">
      <w:start w:val="1"/>
      <w:numFmt w:val="lowerLetter"/>
      <w:lvlText w:val="%5."/>
      <w:lvlJc w:val="left"/>
      <w:pPr>
        <w:ind w:left="3353" w:hanging="360"/>
      </w:pPr>
    </w:lvl>
    <w:lvl w:ilvl="5" w:tplc="0426001B" w:tentative="1">
      <w:start w:val="1"/>
      <w:numFmt w:val="lowerRoman"/>
      <w:lvlText w:val="%6."/>
      <w:lvlJc w:val="right"/>
      <w:pPr>
        <w:ind w:left="4073" w:hanging="180"/>
      </w:pPr>
    </w:lvl>
    <w:lvl w:ilvl="6" w:tplc="0426000F" w:tentative="1">
      <w:start w:val="1"/>
      <w:numFmt w:val="decimal"/>
      <w:lvlText w:val="%7."/>
      <w:lvlJc w:val="left"/>
      <w:pPr>
        <w:ind w:left="4793" w:hanging="360"/>
      </w:pPr>
    </w:lvl>
    <w:lvl w:ilvl="7" w:tplc="04260019" w:tentative="1">
      <w:start w:val="1"/>
      <w:numFmt w:val="lowerLetter"/>
      <w:lvlText w:val="%8."/>
      <w:lvlJc w:val="left"/>
      <w:pPr>
        <w:ind w:left="5513" w:hanging="360"/>
      </w:pPr>
    </w:lvl>
    <w:lvl w:ilvl="8" w:tplc="0426001B" w:tentative="1">
      <w:start w:val="1"/>
      <w:numFmt w:val="lowerRoman"/>
      <w:lvlText w:val="%9."/>
      <w:lvlJc w:val="right"/>
      <w:pPr>
        <w:ind w:left="6233" w:hanging="180"/>
      </w:pPr>
    </w:lvl>
  </w:abstractNum>
  <w:abstractNum w:abstractNumId="1" w15:restartNumberingAfterBreak="0">
    <w:nsid w:val="3288410E"/>
    <w:multiLevelType w:val="hybridMultilevel"/>
    <w:tmpl w:val="02ACC0F2"/>
    <w:lvl w:ilvl="0" w:tplc="AB3EE5C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2D3"/>
    <w:rsid w:val="00003863"/>
    <w:rsid w:val="00005FD5"/>
    <w:rsid w:val="00014DA9"/>
    <w:rsid w:val="000229DB"/>
    <w:rsid w:val="00026144"/>
    <w:rsid w:val="0003294B"/>
    <w:rsid w:val="000355D7"/>
    <w:rsid w:val="00036FC4"/>
    <w:rsid w:val="0004557E"/>
    <w:rsid w:val="0006325B"/>
    <w:rsid w:val="000662BF"/>
    <w:rsid w:val="000679C4"/>
    <w:rsid w:val="00075D3C"/>
    <w:rsid w:val="000816B1"/>
    <w:rsid w:val="00085AEF"/>
    <w:rsid w:val="00085E79"/>
    <w:rsid w:val="000B1280"/>
    <w:rsid w:val="000C04FA"/>
    <w:rsid w:val="000D0BD0"/>
    <w:rsid w:val="000D2112"/>
    <w:rsid w:val="000D2A16"/>
    <w:rsid w:val="000D3F4B"/>
    <w:rsid w:val="000D569B"/>
    <w:rsid w:val="00100922"/>
    <w:rsid w:val="0012378E"/>
    <w:rsid w:val="001247FD"/>
    <w:rsid w:val="0012555C"/>
    <w:rsid w:val="00141E01"/>
    <w:rsid w:val="00144086"/>
    <w:rsid w:val="0015238B"/>
    <w:rsid w:val="001533ED"/>
    <w:rsid w:val="0016594B"/>
    <w:rsid w:val="001803A5"/>
    <w:rsid w:val="00184FD1"/>
    <w:rsid w:val="001918E2"/>
    <w:rsid w:val="00191F1C"/>
    <w:rsid w:val="001A0B46"/>
    <w:rsid w:val="001A0C8A"/>
    <w:rsid w:val="001A18F4"/>
    <w:rsid w:val="001C178A"/>
    <w:rsid w:val="001C584E"/>
    <w:rsid w:val="001D20B8"/>
    <w:rsid w:val="001D24A4"/>
    <w:rsid w:val="001D4816"/>
    <w:rsid w:val="001E2460"/>
    <w:rsid w:val="001F0D74"/>
    <w:rsid w:val="00207A0A"/>
    <w:rsid w:val="0026194A"/>
    <w:rsid w:val="002A2629"/>
    <w:rsid w:val="002B1CCC"/>
    <w:rsid w:val="002B6B82"/>
    <w:rsid w:val="002C01ED"/>
    <w:rsid w:val="002C2D2A"/>
    <w:rsid w:val="002F2E58"/>
    <w:rsid w:val="002F4795"/>
    <w:rsid w:val="00322D1D"/>
    <w:rsid w:val="003238EA"/>
    <w:rsid w:val="0032488E"/>
    <w:rsid w:val="00352A53"/>
    <w:rsid w:val="003531D0"/>
    <w:rsid w:val="00361ABF"/>
    <w:rsid w:val="00373417"/>
    <w:rsid w:val="003735E4"/>
    <w:rsid w:val="0038072B"/>
    <w:rsid w:val="00382246"/>
    <w:rsid w:val="00385DE5"/>
    <w:rsid w:val="0038655B"/>
    <w:rsid w:val="003A339E"/>
    <w:rsid w:val="003A6E65"/>
    <w:rsid w:val="003D0E53"/>
    <w:rsid w:val="003D241F"/>
    <w:rsid w:val="003D40B4"/>
    <w:rsid w:val="003D5A2D"/>
    <w:rsid w:val="003E3EA5"/>
    <w:rsid w:val="003F09FD"/>
    <w:rsid w:val="00423082"/>
    <w:rsid w:val="004428B1"/>
    <w:rsid w:val="004458D0"/>
    <w:rsid w:val="004651BA"/>
    <w:rsid w:val="00470AB8"/>
    <w:rsid w:val="004739EF"/>
    <w:rsid w:val="00474CE4"/>
    <w:rsid w:val="00475020"/>
    <w:rsid w:val="00480370"/>
    <w:rsid w:val="00482AA6"/>
    <w:rsid w:val="00492566"/>
    <w:rsid w:val="004A05AE"/>
    <w:rsid w:val="004D01E3"/>
    <w:rsid w:val="004D28F1"/>
    <w:rsid w:val="004D5AB4"/>
    <w:rsid w:val="004F59B6"/>
    <w:rsid w:val="005013D2"/>
    <w:rsid w:val="00512968"/>
    <w:rsid w:val="00513587"/>
    <w:rsid w:val="00540413"/>
    <w:rsid w:val="00540E5A"/>
    <w:rsid w:val="00584E38"/>
    <w:rsid w:val="005A0F24"/>
    <w:rsid w:val="005A32F0"/>
    <w:rsid w:val="005D01CE"/>
    <w:rsid w:val="005E2496"/>
    <w:rsid w:val="005E2CFD"/>
    <w:rsid w:val="005E3DC5"/>
    <w:rsid w:val="005F60F6"/>
    <w:rsid w:val="00601F2A"/>
    <w:rsid w:val="006070A5"/>
    <w:rsid w:val="006253E2"/>
    <w:rsid w:val="0064053A"/>
    <w:rsid w:val="0065265F"/>
    <w:rsid w:val="00661E1A"/>
    <w:rsid w:val="00670D53"/>
    <w:rsid w:val="00695A90"/>
    <w:rsid w:val="00695E22"/>
    <w:rsid w:val="006A668D"/>
    <w:rsid w:val="006B10B3"/>
    <w:rsid w:val="006B572D"/>
    <w:rsid w:val="006C1349"/>
    <w:rsid w:val="006C2B91"/>
    <w:rsid w:val="006C64E4"/>
    <w:rsid w:val="006C6718"/>
    <w:rsid w:val="006C7036"/>
    <w:rsid w:val="006E1C0E"/>
    <w:rsid w:val="00727918"/>
    <w:rsid w:val="00741E89"/>
    <w:rsid w:val="00743446"/>
    <w:rsid w:val="007504FF"/>
    <w:rsid w:val="00753FB9"/>
    <w:rsid w:val="00767899"/>
    <w:rsid w:val="0077764F"/>
    <w:rsid w:val="00783BF2"/>
    <w:rsid w:val="00790E5D"/>
    <w:rsid w:val="00794C28"/>
    <w:rsid w:val="007A194F"/>
    <w:rsid w:val="007A3C36"/>
    <w:rsid w:val="007B3AE4"/>
    <w:rsid w:val="007B5EA5"/>
    <w:rsid w:val="007D3837"/>
    <w:rsid w:val="007D49D0"/>
    <w:rsid w:val="007E0093"/>
    <w:rsid w:val="007E1F38"/>
    <w:rsid w:val="007E6001"/>
    <w:rsid w:val="007F23B8"/>
    <w:rsid w:val="0081227A"/>
    <w:rsid w:val="00817D5E"/>
    <w:rsid w:val="00825468"/>
    <w:rsid w:val="00830955"/>
    <w:rsid w:val="00841FAE"/>
    <w:rsid w:val="00852501"/>
    <w:rsid w:val="00853CB7"/>
    <w:rsid w:val="008823EC"/>
    <w:rsid w:val="00884CAD"/>
    <w:rsid w:val="008855C1"/>
    <w:rsid w:val="00887316"/>
    <w:rsid w:val="008915BB"/>
    <w:rsid w:val="00892451"/>
    <w:rsid w:val="0089725D"/>
    <w:rsid w:val="0089780B"/>
    <w:rsid w:val="008A4239"/>
    <w:rsid w:val="008A52A8"/>
    <w:rsid w:val="008B1078"/>
    <w:rsid w:val="008B51F1"/>
    <w:rsid w:val="008C0396"/>
    <w:rsid w:val="008D4E1A"/>
    <w:rsid w:val="008E6E4B"/>
    <w:rsid w:val="008E780A"/>
    <w:rsid w:val="008F31A9"/>
    <w:rsid w:val="0090007C"/>
    <w:rsid w:val="009012C6"/>
    <w:rsid w:val="00912C7A"/>
    <w:rsid w:val="009268B0"/>
    <w:rsid w:val="009372F6"/>
    <w:rsid w:val="00946B9D"/>
    <w:rsid w:val="00952B7E"/>
    <w:rsid w:val="00957DE1"/>
    <w:rsid w:val="00973920"/>
    <w:rsid w:val="0098327A"/>
    <w:rsid w:val="00983C49"/>
    <w:rsid w:val="00985D48"/>
    <w:rsid w:val="009A0C98"/>
    <w:rsid w:val="009B1449"/>
    <w:rsid w:val="009B4B98"/>
    <w:rsid w:val="009C3384"/>
    <w:rsid w:val="009C7609"/>
    <w:rsid w:val="009D5ECB"/>
    <w:rsid w:val="009F638D"/>
    <w:rsid w:val="00A019AB"/>
    <w:rsid w:val="00A02716"/>
    <w:rsid w:val="00A200FF"/>
    <w:rsid w:val="00A25A1F"/>
    <w:rsid w:val="00A35996"/>
    <w:rsid w:val="00A42600"/>
    <w:rsid w:val="00A43F65"/>
    <w:rsid w:val="00A46B6D"/>
    <w:rsid w:val="00A55E78"/>
    <w:rsid w:val="00A60E7E"/>
    <w:rsid w:val="00A621C7"/>
    <w:rsid w:val="00A645D6"/>
    <w:rsid w:val="00A766F5"/>
    <w:rsid w:val="00A804BA"/>
    <w:rsid w:val="00AA1D53"/>
    <w:rsid w:val="00AB0004"/>
    <w:rsid w:val="00AB035B"/>
    <w:rsid w:val="00AB3F8B"/>
    <w:rsid w:val="00AB6742"/>
    <w:rsid w:val="00AC7B9F"/>
    <w:rsid w:val="00AD2110"/>
    <w:rsid w:val="00B178BC"/>
    <w:rsid w:val="00B224AD"/>
    <w:rsid w:val="00B27881"/>
    <w:rsid w:val="00B32BFC"/>
    <w:rsid w:val="00B80A27"/>
    <w:rsid w:val="00BB45A2"/>
    <w:rsid w:val="00BB61D2"/>
    <w:rsid w:val="00BB7C9D"/>
    <w:rsid w:val="00BD1BF2"/>
    <w:rsid w:val="00BD52D3"/>
    <w:rsid w:val="00BE25B8"/>
    <w:rsid w:val="00BE557F"/>
    <w:rsid w:val="00BE5ED0"/>
    <w:rsid w:val="00BF44FC"/>
    <w:rsid w:val="00C04D33"/>
    <w:rsid w:val="00C104EA"/>
    <w:rsid w:val="00C51E87"/>
    <w:rsid w:val="00C7691B"/>
    <w:rsid w:val="00C809D0"/>
    <w:rsid w:val="00C811B2"/>
    <w:rsid w:val="00CC6CA6"/>
    <w:rsid w:val="00CE0AA1"/>
    <w:rsid w:val="00CE12F6"/>
    <w:rsid w:val="00CE7CB3"/>
    <w:rsid w:val="00D158DF"/>
    <w:rsid w:val="00D25C27"/>
    <w:rsid w:val="00D30841"/>
    <w:rsid w:val="00D3607B"/>
    <w:rsid w:val="00D4034A"/>
    <w:rsid w:val="00D5567C"/>
    <w:rsid w:val="00D61225"/>
    <w:rsid w:val="00D65A20"/>
    <w:rsid w:val="00D66EE7"/>
    <w:rsid w:val="00D7609C"/>
    <w:rsid w:val="00D94075"/>
    <w:rsid w:val="00DB2A06"/>
    <w:rsid w:val="00DD1C63"/>
    <w:rsid w:val="00DD2891"/>
    <w:rsid w:val="00DD32C2"/>
    <w:rsid w:val="00DD35B5"/>
    <w:rsid w:val="00DE0425"/>
    <w:rsid w:val="00DE1B25"/>
    <w:rsid w:val="00DE61B1"/>
    <w:rsid w:val="00DF5094"/>
    <w:rsid w:val="00E41B01"/>
    <w:rsid w:val="00E61F51"/>
    <w:rsid w:val="00E66BF3"/>
    <w:rsid w:val="00E77841"/>
    <w:rsid w:val="00E842BE"/>
    <w:rsid w:val="00E91113"/>
    <w:rsid w:val="00E97C36"/>
    <w:rsid w:val="00EA341A"/>
    <w:rsid w:val="00EA68B2"/>
    <w:rsid w:val="00EB4A51"/>
    <w:rsid w:val="00EC348F"/>
    <w:rsid w:val="00EE01FF"/>
    <w:rsid w:val="00EF0426"/>
    <w:rsid w:val="00EF12AF"/>
    <w:rsid w:val="00EF4CA1"/>
    <w:rsid w:val="00F01524"/>
    <w:rsid w:val="00F04C7D"/>
    <w:rsid w:val="00F07C9A"/>
    <w:rsid w:val="00F2212F"/>
    <w:rsid w:val="00F366F1"/>
    <w:rsid w:val="00F4210C"/>
    <w:rsid w:val="00F63654"/>
    <w:rsid w:val="00F74CC7"/>
    <w:rsid w:val="00F81A67"/>
    <w:rsid w:val="00F831AF"/>
    <w:rsid w:val="00F97336"/>
    <w:rsid w:val="00FD1BC4"/>
    <w:rsid w:val="00FE0805"/>
    <w:rsid w:val="00FF41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E6EE3"/>
  <w15:docId w15:val="{DF955E0E-A5E2-47AD-ADEA-9140FE5F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2D3"/>
    <w:pPr>
      <w:spacing w:after="0" w:line="240" w:lineRule="auto"/>
    </w:pPr>
    <w:rPr>
      <w:rFonts w:ascii="Times New Roman" w:eastAsia="Times New Roman" w:hAnsi="Times New Roman" w:cs="Times New Roman"/>
      <w:sz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BD52D3"/>
    <w:pPr>
      <w:spacing w:before="75" w:after="75"/>
      <w:ind w:firstLine="375"/>
      <w:jc w:val="both"/>
    </w:pPr>
    <w:rPr>
      <w:sz w:val="24"/>
      <w:szCs w:val="24"/>
    </w:rPr>
  </w:style>
  <w:style w:type="character" w:styleId="Hyperlink">
    <w:name w:val="Hyperlink"/>
    <w:basedOn w:val="DefaultParagraphFont"/>
    <w:rsid w:val="00BD52D3"/>
    <w:rPr>
      <w:color w:val="0000FF"/>
      <w:u w:val="single"/>
    </w:rPr>
  </w:style>
  <w:style w:type="paragraph" w:styleId="Header">
    <w:name w:val="header"/>
    <w:basedOn w:val="Normal"/>
    <w:link w:val="HeaderChar"/>
    <w:rsid w:val="00BD52D3"/>
    <w:pPr>
      <w:tabs>
        <w:tab w:val="center" w:pos="4153"/>
        <w:tab w:val="right" w:pos="8306"/>
      </w:tabs>
    </w:pPr>
  </w:style>
  <w:style w:type="character" w:customStyle="1" w:styleId="HeaderChar">
    <w:name w:val="Header Char"/>
    <w:basedOn w:val="DefaultParagraphFont"/>
    <w:link w:val="Header"/>
    <w:rsid w:val="00BD52D3"/>
    <w:rPr>
      <w:rFonts w:ascii="Times New Roman" w:eastAsia="Times New Roman" w:hAnsi="Times New Roman" w:cs="Times New Roman"/>
      <w:sz w:val="28"/>
      <w:lang w:val="lv-LV" w:eastAsia="lv-LV"/>
    </w:rPr>
  </w:style>
  <w:style w:type="paragraph" w:styleId="Footer">
    <w:name w:val="footer"/>
    <w:basedOn w:val="Normal"/>
    <w:link w:val="FooterChar"/>
    <w:rsid w:val="00BD52D3"/>
    <w:pPr>
      <w:tabs>
        <w:tab w:val="center" w:pos="4153"/>
        <w:tab w:val="right" w:pos="8306"/>
      </w:tabs>
    </w:pPr>
  </w:style>
  <w:style w:type="character" w:customStyle="1" w:styleId="FooterChar">
    <w:name w:val="Footer Char"/>
    <w:basedOn w:val="DefaultParagraphFont"/>
    <w:link w:val="Footer"/>
    <w:rsid w:val="00BD52D3"/>
    <w:rPr>
      <w:rFonts w:ascii="Times New Roman" w:eastAsia="Times New Roman" w:hAnsi="Times New Roman" w:cs="Times New Roman"/>
      <w:sz w:val="28"/>
      <w:lang w:val="lv-LV" w:eastAsia="lv-LV"/>
    </w:rPr>
  </w:style>
  <w:style w:type="character" w:styleId="PageNumber">
    <w:name w:val="page number"/>
    <w:basedOn w:val="DefaultParagraphFont"/>
    <w:rsid w:val="00BD52D3"/>
  </w:style>
  <w:style w:type="character" w:styleId="CommentReference">
    <w:name w:val="annotation reference"/>
    <w:basedOn w:val="DefaultParagraphFont"/>
    <w:uiPriority w:val="99"/>
    <w:semiHidden/>
    <w:unhideWhenUsed/>
    <w:rsid w:val="00EF12AF"/>
    <w:rPr>
      <w:sz w:val="16"/>
      <w:szCs w:val="16"/>
    </w:rPr>
  </w:style>
  <w:style w:type="paragraph" w:styleId="CommentText">
    <w:name w:val="annotation text"/>
    <w:basedOn w:val="Normal"/>
    <w:link w:val="CommentTextChar"/>
    <w:uiPriority w:val="99"/>
    <w:semiHidden/>
    <w:unhideWhenUsed/>
    <w:rsid w:val="00EF12AF"/>
    <w:rPr>
      <w:sz w:val="20"/>
      <w:szCs w:val="20"/>
    </w:rPr>
  </w:style>
  <w:style w:type="character" w:customStyle="1" w:styleId="CommentTextChar">
    <w:name w:val="Comment Text Char"/>
    <w:basedOn w:val="DefaultParagraphFont"/>
    <w:link w:val="CommentText"/>
    <w:uiPriority w:val="99"/>
    <w:semiHidden/>
    <w:rsid w:val="00EF12A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EF12AF"/>
    <w:rPr>
      <w:b/>
      <w:bCs/>
    </w:rPr>
  </w:style>
  <w:style w:type="character" w:customStyle="1" w:styleId="CommentSubjectChar">
    <w:name w:val="Comment Subject Char"/>
    <w:basedOn w:val="CommentTextChar"/>
    <w:link w:val="CommentSubject"/>
    <w:uiPriority w:val="99"/>
    <w:semiHidden/>
    <w:rsid w:val="00EF12AF"/>
    <w:rPr>
      <w:rFonts w:ascii="Times New Roman" w:eastAsia="Times New Roman" w:hAnsi="Times New Roman" w:cs="Times New Roman"/>
      <w:b/>
      <w:bCs/>
      <w:sz w:val="20"/>
      <w:szCs w:val="20"/>
      <w:lang w:val="lv-LV" w:eastAsia="lv-LV"/>
    </w:rPr>
  </w:style>
  <w:style w:type="paragraph" w:styleId="BalloonText">
    <w:name w:val="Balloon Text"/>
    <w:basedOn w:val="Normal"/>
    <w:link w:val="BalloonTextChar"/>
    <w:uiPriority w:val="99"/>
    <w:semiHidden/>
    <w:unhideWhenUsed/>
    <w:rsid w:val="00EF12AF"/>
    <w:rPr>
      <w:rFonts w:ascii="Tahoma" w:hAnsi="Tahoma" w:cs="Tahoma"/>
      <w:sz w:val="16"/>
      <w:szCs w:val="16"/>
    </w:rPr>
  </w:style>
  <w:style w:type="character" w:customStyle="1" w:styleId="BalloonTextChar">
    <w:name w:val="Balloon Text Char"/>
    <w:basedOn w:val="DefaultParagraphFont"/>
    <w:link w:val="BalloonText"/>
    <w:uiPriority w:val="99"/>
    <w:semiHidden/>
    <w:rsid w:val="00EF12AF"/>
    <w:rPr>
      <w:rFonts w:ascii="Tahoma" w:eastAsia="Times New Roman" w:hAnsi="Tahoma" w:cs="Tahoma"/>
      <w:sz w:val="16"/>
      <w:szCs w:val="16"/>
      <w:lang w:val="lv-LV" w:eastAsia="lv-LV"/>
    </w:rPr>
  </w:style>
  <w:style w:type="character" w:customStyle="1" w:styleId="spelle">
    <w:name w:val="spelle"/>
    <w:basedOn w:val="DefaultParagraphFont"/>
    <w:rsid w:val="00184FD1"/>
  </w:style>
  <w:style w:type="paragraph" w:styleId="PlainText">
    <w:name w:val="Plain Text"/>
    <w:basedOn w:val="Normal"/>
    <w:link w:val="PlainTextChar"/>
    <w:uiPriority w:val="99"/>
    <w:unhideWhenUsed/>
    <w:rsid w:val="0012378E"/>
    <w:rPr>
      <w:rFonts w:ascii="Consolas" w:eastAsiaTheme="minorHAnsi" w:hAnsi="Consolas" w:cs="Consolas"/>
      <w:sz w:val="21"/>
      <w:szCs w:val="21"/>
      <w:lang w:val="en-US" w:eastAsia="en-US"/>
    </w:rPr>
  </w:style>
  <w:style w:type="character" w:customStyle="1" w:styleId="PlainTextChar">
    <w:name w:val="Plain Text Char"/>
    <w:basedOn w:val="DefaultParagraphFont"/>
    <w:link w:val="PlainText"/>
    <w:uiPriority w:val="99"/>
    <w:rsid w:val="0012378E"/>
    <w:rPr>
      <w:rFonts w:ascii="Consolas" w:hAnsi="Consolas" w:cs="Consolas"/>
      <w:sz w:val="21"/>
      <w:szCs w:val="21"/>
    </w:rPr>
  </w:style>
  <w:style w:type="paragraph" w:styleId="BlockText">
    <w:name w:val="Block Text"/>
    <w:basedOn w:val="Normal"/>
    <w:unhideWhenUsed/>
    <w:rsid w:val="008823EC"/>
    <w:pPr>
      <w:ind w:left="142" w:right="142" w:firstLine="425"/>
      <w:jc w:val="both"/>
    </w:pPr>
    <w:rPr>
      <w:szCs w:val="20"/>
    </w:rPr>
  </w:style>
  <w:style w:type="paragraph" w:styleId="ListParagraph">
    <w:name w:val="List Paragraph"/>
    <w:basedOn w:val="Normal"/>
    <w:uiPriority w:val="34"/>
    <w:qFormat/>
    <w:rsid w:val="00141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2846">
      <w:bodyDiv w:val="1"/>
      <w:marLeft w:val="0"/>
      <w:marRight w:val="0"/>
      <w:marTop w:val="0"/>
      <w:marBottom w:val="0"/>
      <w:divBdr>
        <w:top w:val="none" w:sz="0" w:space="0" w:color="auto"/>
        <w:left w:val="none" w:sz="0" w:space="0" w:color="auto"/>
        <w:bottom w:val="none" w:sz="0" w:space="0" w:color="auto"/>
        <w:right w:val="none" w:sz="0" w:space="0" w:color="auto"/>
      </w:divBdr>
    </w:div>
    <w:div w:id="60181298">
      <w:bodyDiv w:val="1"/>
      <w:marLeft w:val="0"/>
      <w:marRight w:val="0"/>
      <w:marTop w:val="0"/>
      <w:marBottom w:val="0"/>
      <w:divBdr>
        <w:top w:val="none" w:sz="0" w:space="0" w:color="auto"/>
        <w:left w:val="none" w:sz="0" w:space="0" w:color="auto"/>
        <w:bottom w:val="none" w:sz="0" w:space="0" w:color="auto"/>
        <w:right w:val="none" w:sz="0" w:space="0" w:color="auto"/>
      </w:divBdr>
    </w:div>
    <w:div w:id="1136026290">
      <w:bodyDiv w:val="1"/>
      <w:marLeft w:val="0"/>
      <w:marRight w:val="0"/>
      <w:marTop w:val="0"/>
      <w:marBottom w:val="0"/>
      <w:divBdr>
        <w:top w:val="none" w:sz="0" w:space="0" w:color="auto"/>
        <w:left w:val="none" w:sz="0" w:space="0" w:color="auto"/>
        <w:bottom w:val="none" w:sz="0" w:space="0" w:color="auto"/>
        <w:right w:val="none" w:sz="0" w:space="0" w:color="auto"/>
      </w:divBdr>
    </w:div>
    <w:div w:id="167197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te.Priede@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7317</Words>
  <Characters>4171</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„Par dāvinājuma pieņemšanu ”</vt:lpstr>
    </vt:vector>
  </TitlesOfParts>
  <Company/>
  <LinksUpToDate>false</LinksUpToDate>
  <CharactersWithSpaces>11466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dāvinājuma pieņemšanu ”</dc:title>
  <dc:subject>Ministru kabineta rīkojuma projekta sākotnējās ietekmes novērtējuma ziņojums (anotācija)</dc:subject>
  <dc:creator>Mārīte Priede</dc:creator>
  <dc:description>M.Priede, 67026915</dc:description>
  <cp:lastModifiedBy>Mārīte Priede</cp:lastModifiedBy>
  <cp:revision>4</cp:revision>
  <dcterms:created xsi:type="dcterms:W3CDTF">2017-08-08T10:15:00Z</dcterms:created>
  <dcterms:modified xsi:type="dcterms:W3CDTF">2017-08-08T10:17:00Z</dcterms:modified>
</cp:coreProperties>
</file>